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1"/>
        <w:gridCol w:w="2534"/>
        <w:gridCol w:w="1173"/>
        <w:gridCol w:w="1705"/>
        <w:gridCol w:w="890"/>
        <w:gridCol w:w="9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8" w:type="pct"/>
            <w:gridSpan w:val="5"/>
            <w:tcBorders>
              <w:top w:val="single" w:color="auto" w:sz="4" w:space="0"/>
              <w:left w:val="single" w:color="auto" w:sz="4" w:space="0"/>
              <w:bottom w:val="single" w:color="auto" w:sz="4" w:space="0"/>
            </w:tcBorders>
            <w:vAlign w:val="center"/>
          </w:tcPr>
          <w:p>
            <w:pPr>
              <w:pStyle w:val="23"/>
              <w:bidi w:val="0"/>
              <w:rPr>
                <w:rFonts w:ascii="仿宋" w:hAnsi="仿宋" w:eastAsia="仿宋" w:cs="Times New Roman"/>
                <w:szCs w:val="21"/>
              </w:rPr>
            </w:pPr>
            <w:r>
              <w:rPr>
                <w:rFonts w:hint="eastAsia"/>
                <w:color w:val="auto"/>
                <w:lang w:eastAsia="zh-CN"/>
              </w:rPr>
              <w:t>捷普电子（广州）有限公司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8" w:type="pct"/>
            <w:gridSpan w:val="5"/>
            <w:tcBorders>
              <w:top w:val="single" w:color="auto" w:sz="4" w:space="0"/>
              <w:left w:val="single" w:color="auto" w:sz="4" w:space="0"/>
              <w:bottom w:val="single" w:color="auto" w:sz="4" w:space="0"/>
            </w:tcBorders>
            <w:vAlign w:val="center"/>
          </w:tcPr>
          <w:p>
            <w:pPr>
              <w:pStyle w:val="23"/>
              <w:bidi w:val="0"/>
            </w:pPr>
            <w:r>
              <w:rPr>
                <w:rFonts w:hint="eastAsia"/>
                <w:lang w:eastAsia="zh-CN"/>
              </w:rPr>
              <w:t>捷普电子（广州）有限公司E&amp;E厂Building-B Tesla二楼工程项目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8" w:type="pct"/>
            <w:gridSpan w:val="5"/>
            <w:tcBorders>
              <w:top w:val="single" w:color="auto" w:sz="4" w:space="0"/>
              <w:left w:val="single" w:color="auto" w:sz="4" w:space="0"/>
              <w:bottom w:val="single" w:color="auto" w:sz="4" w:space="0"/>
            </w:tcBorders>
            <w:vAlign w:val="center"/>
          </w:tcPr>
          <w:p>
            <w:pPr>
              <w:pStyle w:val="23"/>
              <w:bidi w:val="0"/>
            </w:pPr>
            <w:r>
              <w:rPr>
                <w:rFonts w:hint="eastAsia"/>
                <w:lang w:val="en-US" w:eastAsia="zh-CN"/>
              </w:rPr>
              <w:t>广州市黄埔区连云路388号E&amp;E厂区B栋厂房2楼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8" w:type="pct"/>
            <w:gridSpan w:val="5"/>
            <w:tcBorders>
              <w:top w:val="single" w:color="auto" w:sz="4" w:space="0"/>
              <w:left w:val="single" w:color="auto" w:sz="4" w:space="0"/>
              <w:bottom w:val="single" w:color="auto" w:sz="4" w:space="0"/>
            </w:tcBorders>
            <w:vAlign w:val="center"/>
          </w:tcPr>
          <w:p>
            <w:pPr>
              <w:pStyle w:val="23"/>
              <w:bidi w:val="0"/>
              <w:rPr>
                <w:rFonts w:hint="default" w:ascii="仿宋" w:hAnsi="仿宋" w:eastAsia="仿宋" w:cs="Times New Roman"/>
                <w:szCs w:val="21"/>
                <w:lang w:val="en-US" w:eastAsia="zh-CN"/>
              </w:rPr>
            </w:pPr>
            <w:r>
              <w:rPr>
                <w:rFonts w:hint="eastAsia"/>
                <w:kern w:val="0"/>
                <w:sz w:val="21"/>
                <w:szCs w:val="21"/>
                <w:lang w:val="en-US" w:eastAsia="zh-CN"/>
              </w:rPr>
              <w:t>王先生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8" w:type="pct"/>
            <w:gridSpan w:val="5"/>
            <w:tcBorders>
              <w:top w:val="single" w:color="auto" w:sz="4" w:space="0"/>
              <w:left w:val="single" w:color="auto" w:sz="4" w:space="0"/>
              <w:bottom w:val="single" w:color="auto" w:sz="4" w:space="0"/>
            </w:tcBorders>
            <w:vAlign w:val="center"/>
          </w:tcPr>
          <w:p>
            <w:pPr>
              <w:pStyle w:val="24"/>
              <w:bidi w:val="0"/>
              <w:jc w:val="both"/>
              <w:rPr>
                <w:rFonts w:hint="default" w:eastAsia="仿宋"/>
                <w:vertAlign w:val="baseline"/>
                <w:lang w:val="en-US" w:eastAsia="zh-CN"/>
              </w:rPr>
            </w:pPr>
            <w:r>
              <w:rPr>
                <w:rFonts w:hint="eastAsia"/>
                <w:lang w:val="en-US" w:eastAsia="zh-CN"/>
              </w:rPr>
              <w:t>该项目设置5条生产线，年产INV高频控制电路板144000件、HVC高压控制电路板360000件、家用太阳能控制系统电路板316800件。项目主要组成：SMT车间、配电房、风柜房、空调机房、废气处理装置。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3"/>
              <w:bidi w:val="0"/>
              <w:rPr>
                <w:rFonts w:hint="default" w:eastAsia="仿宋"/>
                <w:lang w:val="en-US" w:eastAsia="zh-CN"/>
              </w:rPr>
            </w:pPr>
            <w:r>
              <w:rPr>
                <w:rFonts w:hint="eastAsia"/>
                <w:lang w:val="en-US" w:eastAsia="zh-CN"/>
              </w:rPr>
              <w:t>何曼静、王其飞</w:t>
            </w:r>
          </w:p>
        </w:tc>
        <w:tc>
          <w:tcPr>
            <w:tcW w:w="659" w:type="pct"/>
            <w:tcBorders>
              <w:top w:val="single" w:color="auto" w:sz="4" w:space="0"/>
              <w:left w:val="single" w:color="auto" w:sz="4" w:space="0"/>
              <w:bottom w:val="single" w:color="auto" w:sz="4" w:space="0"/>
            </w:tcBorders>
            <w:vAlign w:val="center"/>
          </w:tcPr>
          <w:p>
            <w:pPr>
              <w:pStyle w:val="23"/>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3"/>
              <w:bidi w:val="0"/>
              <w:rPr>
                <w:rFonts w:hint="default"/>
                <w:lang w:val="en-US" w:eastAsia="zh-CN"/>
              </w:rPr>
            </w:pPr>
            <w:r>
              <w:rPr>
                <w:rFonts w:hint="eastAsia"/>
              </w:rPr>
              <w:t>202</w:t>
            </w:r>
            <w:r>
              <w:rPr>
                <w:rFonts w:hint="eastAsia"/>
                <w:lang w:val="en-US" w:eastAsia="zh-CN"/>
              </w:rPr>
              <w:t>2.5.19</w:t>
            </w:r>
          </w:p>
        </w:tc>
        <w:tc>
          <w:tcPr>
            <w:tcW w:w="500" w:type="pct"/>
            <w:tcBorders>
              <w:top w:val="single" w:color="auto" w:sz="4" w:space="0"/>
              <w:left w:val="single" w:color="auto" w:sz="4" w:space="0"/>
              <w:bottom w:val="single" w:color="auto" w:sz="4" w:space="0"/>
            </w:tcBorders>
            <w:vAlign w:val="center"/>
          </w:tcPr>
          <w:p>
            <w:pPr>
              <w:pStyle w:val="23"/>
              <w:bidi w:val="0"/>
            </w:pPr>
            <w:r>
              <w:rPr>
                <w:rFonts w:hint="eastAsia"/>
              </w:rPr>
              <w:t>陪同人</w:t>
            </w:r>
          </w:p>
        </w:tc>
        <w:tc>
          <w:tcPr>
            <w:tcW w:w="506" w:type="pct"/>
            <w:tcBorders>
              <w:top w:val="single" w:color="auto" w:sz="4" w:space="0"/>
              <w:left w:val="single" w:color="auto" w:sz="4" w:space="0"/>
              <w:bottom w:val="single" w:color="auto" w:sz="4" w:space="0"/>
            </w:tcBorders>
            <w:vAlign w:val="center"/>
          </w:tcPr>
          <w:p>
            <w:pPr>
              <w:pStyle w:val="23"/>
              <w:bidi w:val="0"/>
            </w:pPr>
            <w:r>
              <w:rPr>
                <w:rFonts w:hint="eastAsia"/>
                <w:kern w:val="0"/>
                <w:sz w:val="21"/>
                <w:szCs w:val="21"/>
                <w:lang w:val="en-US" w:eastAsia="zh-CN"/>
              </w:rPr>
              <w:t>王先生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3"/>
              <w:bidi w:val="0"/>
              <w:rPr>
                <w:rFonts w:hint="eastAsia"/>
                <w:lang w:eastAsia="zh-CN"/>
              </w:rPr>
            </w:pPr>
            <w:r>
              <w:rPr>
                <w:rFonts w:hint="eastAsia"/>
                <w:lang w:val="en-US" w:eastAsia="zh-CN"/>
              </w:rPr>
              <w:t>甄嘉城、罗志贤、钟智润</w:t>
            </w:r>
          </w:p>
        </w:tc>
        <w:tc>
          <w:tcPr>
            <w:tcW w:w="659" w:type="pct"/>
            <w:tcBorders>
              <w:top w:val="single" w:color="auto" w:sz="4" w:space="0"/>
              <w:left w:val="single" w:color="auto" w:sz="4" w:space="0"/>
              <w:bottom w:val="single" w:color="auto" w:sz="4" w:space="0"/>
            </w:tcBorders>
            <w:vAlign w:val="center"/>
          </w:tcPr>
          <w:p>
            <w:pPr>
              <w:pStyle w:val="23"/>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3"/>
              <w:bidi w:val="0"/>
              <w:rPr>
                <w:rFonts w:hint="default" w:eastAsia="仿宋"/>
                <w:lang w:val="en-US" w:eastAsia="zh-CN"/>
              </w:rPr>
            </w:pPr>
            <w:r>
              <w:rPr>
                <w:rFonts w:hint="eastAsia"/>
              </w:rPr>
              <w:t>202</w:t>
            </w:r>
            <w:r>
              <w:rPr>
                <w:rFonts w:hint="eastAsia"/>
                <w:lang w:val="en-US" w:eastAsia="zh-CN"/>
              </w:rPr>
              <w:t>2.5.26</w:t>
            </w:r>
            <w:r>
              <w:rPr>
                <w:rFonts w:hint="eastAsia"/>
              </w:rPr>
              <w:t>~</w:t>
            </w:r>
            <w:r>
              <w:rPr>
                <w:rFonts w:hint="eastAsia"/>
                <w:lang w:val="en-US" w:eastAsia="zh-CN"/>
              </w:rPr>
              <w:t>28</w:t>
            </w:r>
          </w:p>
        </w:tc>
        <w:tc>
          <w:tcPr>
            <w:tcW w:w="500" w:type="pct"/>
            <w:tcBorders>
              <w:top w:val="single" w:color="auto" w:sz="4" w:space="0"/>
              <w:left w:val="single" w:color="auto" w:sz="4" w:space="0"/>
              <w:bottom w:val="single" w:color="auto" w:sz="4" w:space="0"/>
            </w:tcBorders>
            <w:vAlign w:val="center"/>
          </w:tcPr>
          <w:p>
            <w:pPr>
              <w:pStyle w:val="23"/>
              <w:bidi w:val="0"/>
            </w:pPr>
            <w:r>
              <w:rPr>
                <w:rFonts w:hint="eastAsia"/>
              </w:rPr>
              <w:t>陪同人</w:t>
            </w:r>
          </w:p>
        </w:tc>
        <w:tc>
          <w:tcPr>
            <w:tcW w:w="506" w:type="pct"/>
            <w:tcBorders>
              <w:top w:val="single" w:color="auto" w:sz="4" w:space="0"/>
              <w:left w:val="single" w:color="auto" w:sz="4" w:space="0"/>
              <w:bottom w:val="single" w:color="auto" w:sz="4" w:space="0"/>
            </w:tcBorders>
            <w:vAlign w:val="center"/>
          </w:tcPr>
          <w:p>
            <w:pPr>
              <w:pStyle w:val="23"/>
              <w:bidi w:val="0"/>
            </w:pPr>
            <w:r>
              <w:rPr>
                <w:rFonts w:hint="eastAsia"/>
                <w:kern w:val="0"/>
                <w:sz w:val="21"/>
                <w:szCs w:val="21"/>
                <w:lang w:val="en-US" w:eastAsia="zh-CN"/>
              </w:rPr>
              <w:t>王先生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5"/>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其他粉尘、铜烟、二苯基甲烷二异氰酸酯、异丙醇、乙酸丁酯、丁酮、丙酮、二氧化锡（按Sn计）、噪声、激光辐射。</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5"/>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5"/>
              <w:bidi w:val="0"/>
              <w:rPr>
                <w:rFonts w:hint="default"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lang w:val="en-US" w:eastAsia="zh-CN"/>
              </w:rPr>
              <w:t>每年委托职业卫生技术服务机构对作业场所进行职业病危害因素定期检测，并妥善保存相 关资料。建议企业在旺季进行定期检测，更准确反映项目职业病危害因素的最高浓度/强度</w:t>
            </w:r>
            <w:r>
              <w:rPr>
                <w:rFonts w:hint="eastAsia" w:ascii="Times New Roman" w:hAnsi="Times New Roman" w:cs="Times New Roman"/>
                <w:bCs/>
                <w:color w:val="auto"/>
                <w:szCs w:val="28"/>
              </w:rPr>
              <w:t>。</w:t>
            </w:r>
            <w:r>
              <w:rPr>
                <w:rFonts w:hint="eastAsia"/>
              </w:rPr>
              <w:t>2）</w:t>
            </w:r>
            <w:r>
              <w:rPr>
                <w:rFonts w:hint="eastAsia"/>
                <w:color w:val="auto"/>
                <w:kern w:val="28"/>
                <w:lang w:val="en-US" w:eastAsia="zh-CN"/>
              </w:rPr>
              <w:t>今后发生生产技术、工艺、材料等变更而导致所产生的职业病危害因素及其相关内容发生改变的，应重新委托职业卫生技术服务机构对公司进行相应评价</w:t>
            </w:r>
            <w:r>
              <w:rPr>
                <w:rFonts w:hint="eastAsia"/>
                <w:color w:val="auto"/>
                <w:kern w:val="28"/>
              </w:rPr>
              <w:t>。</w:t>
            </w:r>
            <w:r>
              <w:rPr>
                <w:rFonts w:hint="eastAsia"/>
                <w:color w:val="auto"/>
                <w:kern w:val="28"/>
                <w:lang w:val="en-US" w:eastAsia="zh-CN"/>
              </w:rPr>
              <w:t>3）按照《职业卫生档案管理规范》（原安监总厅安健〔2013〕171号）的要求，持续完善职业卫生档案。4）按照《工作场所职业卫生管理规定》（中华人民共和国国家卫生健康委员会令第5号，2021年）第十一条的要求，完善职业卫生管理制度并落实到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5"/>
              <w:bidi w:val="0"/>
              <w:rPr>
                <w:rFonts w:hint="eastAsia"/>
                <w:lang w:eastAsia="zh-CN"/>
              </w:rPr>
            </w:pPr>
            <w:r>
              <w:rPr>
                <w:rFonts w:hint="eastAsia"/>
              </w:rPr>
              <w:t>1）</w:t>
            </w:r>
            <w:r>
              <w:rPr>
                <w:rFonts w:hint="eastAsia"/>
                <w:lang w:val="en-US" w:eastAsia="zh-CN"/>
              </w:rPr>
              <w:t>细化防尘、防毒设施调查与分析评价</w:t>
            </w:r>
            <w:r>
              <w:rPr>
                <w:rFonts w:hint="eastAsia"/>
              </w:rPr>
              <w:t>；2）</w:t>
            </w:r>
            <w:r>
              <w:rPr>
                <w:rFonts w:hint="eastAsia"/>
                <w:lang w:val="en-US" w:eastAsia="zh-CN"/>
              </w:rPr>
              <w:t>补充放射作业人员个人剂量结果与分析评价</w:t>
            </w:r>
            <w:r>
              <w:rPr>
                <w:rFonts w:hint="eastAsia"/>
                <w:lang w:eastAsia="zh-CN"/>
              </w:rPr>
              <w:t>；</w:t>
            </w:r>
            <w:r>
              <w:rPr>
                <w:rFonts w:hint="eastAsia"/>
                <w:lang w:val="en-US" w:eastAsia="zh-CN"/>
              </w:rPr>
              <w:t>3）</w:t>
            </w:r>
            <w:bookmarkStart w:id="0" w:name="_GoBack"/>
            <w:bookmarkEnd w:id="0"/>
            <w:r>
              <w:rPr>
                <w:rFonts w:hint="eastAsia"/>
              </w:rPr>
              <w:t>专家提出的其他个人意见</w:t>
            </w:r>
            <w:r>
              <w:rPr>
                <w:rFonts w:hint="eastAsia"/>
                <w:lang w:eastAsia="zh-CN"/>
              </w:rPr>
              <w:t>；</w:t>
            </w:r>
          </w:p>
          <w:p>
            <w:pPr>
              <w:pStyle w:val="25"/>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2753E85"/>
    <w:rsid w:val="041B0A5C"/>
    <w:rsid w:val="057A17B3"/>
    <w:rsid w:val="0721282E"/>
    <w:rsid w:val="076B3AA9"/>
    <w:rsid w:val="095C7B4D"/>
    <w:rsid w:val="0B205097"/>
    <w:rsid w:val="0CE95B9C"/>
    <w:rsid w:val="0DE62C9D"/>
    <w:rsid w:val="0E3C619F"/>
    <w:rsid w:val="0EA164EF"/>
    <w:rsid w:val="0FA933C0"/>
    <w:rsid w:val="10B4026F"/>
    <w:rsid w:val="12541D09"/>
    <w:rsid w:val="1285363F"/>
    <w:rsid w:val="156D6C3E"/>
    <w:rsid w:val="15F335E7"/>
    <w:rsid w:val="1AF71484"/>
    <w:rsid w:val="1C112A19"/>
    <w:rsid w:val="1C250273"/>
    <w:rsid w:val="1C3F7586"/>
    <w:rsid w:val="204038CD"/>
    <w:rsid w:val="21676C37"/>
    <w:rsid w:val="23DA7B95"/>
    <w:rsid w:val="25553977"/>
    <w:rsid w:val="2754014A"/>
    <w:rsid w:val="27B34984"/>
    <w:rsid w:val="2A0C2A72"/>
    <w:rsid w:val="2A120388"/>
    <w:rsid w:val="2DD6761F"/>
    <w:rsid w:val="2E0C3040"/>
    <w:rsid w:val="2EEA6615"/>
    <w:rsid w:val="2F1C72B3"/>
    <w:rsid w:val="3045283A"/>
    <w:rsid w:val="306D402B"/>
    <w:rsid w:val="31510E64"/>
    <w:rsid w:val="34586FDF"/>
    <w:rsid w:val="34BB30CA"/>
    <w:rsid w:val="35DC59EE"/>
    <w:rsid w:val="35FA1ACA"/>
    <w:rsid w:val="35FC399A"/>
    <w:rsid w:val="37143452"/>
    <w:rsid w:val="375052C0"/>
    <w:rsid w:val="3793032E"/>
    <w:rsid w:val="38857FA0"/>
    <w:rsid w:val="3D60119F"/>
    <w:rsid w:val="3E79027E"/>
    <w:rsid w:val="406665E0"/>
    <w:rsid w:val="42B37AD7"/>
    <w:rsid w:val="42EB101F"/>
    <w:rsid w:val="436C1B2E"/>
    <w:rsid w:val="4384370E"/>
    <w:rsid w:val="472B2331"/>
    <w:rsid w:val="486A50DB"/>
    <w:rsid w:val="4CE511D4"/>
    <w:rsid w:val="4D1A2C2C"/>
    <w:rsid w:val="4D714816"/>
    <w:rsid w:val="4E9D1D67"/>
    <w:rsid w:val="4F1162B1"/>
    <w:rsid w:val="50642410"/>
    <w:rsid w:val="51A57D4C"/>
    <w:rsid w:val="577371DA"/>
    <w:rsid w:val="58580AAD"/>
    <w:rsid w:val="608C39E9"/>
    <w:rsid w:val="6220263B"/>
    <w:rsid w:val="63427A00"/>
    <w:rsid w:val="63D9722E"/>
    <w:rsid w:val="68A45648"/>
    <w:rsid w:val="6A116D0D"/>
    <w:rsid w:val="6A5F61B7"/>
    <w:rsid w:val="6D7221B9"/>
    <w:rsid w:val="6DFA4688"/>
    <w:rsid w:val="6E0B3951"/>
    <w:rsid w:val="6EBC193D"/>
    <w:rsid w:val="6ECB7DD2"/>
    <w:rsid w:val="6F897E6A"/>
    <w:rsid w:val="70343755"/>
    <w:rsid w:val="70E46F2A"/>
    <w:rsid w:val="76397D18"/>
    <w:rsid w:val="765042C1"/>
    <w:rsid w:val="766308F1"/>
    <w:rsid w:val="775C1F10"/>
    <w:rsid w:val="791912D1"/>
    <w:rsid w:val="7A7E219D"/>
    <w:rsid w:val="7AC04563"/>
    <w:rsid w:val="7BB7701D"/>
    <w:rsid w:val="7BC40083"/>
    <w:rsid w:val="7BEE3352"/>
    <w:rsid w:val="7DCF4ABD"/>
    <w:rsid w:val="7DFD787D"/>
    <w:rsid w:val="7E2766A8"/>
    <w:rsid w:val="7EDC0404"/>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after="50" w:afterLines="50"/>
      <w:ind w:firstLine="0" w:firstLineChars="0"/>
      <w:outlineLvl w:val="0"/>
    </w:pPr>
    <w:rPr>
      <w:b/>
      <w:bCs/>
      <w:color w:val="000000"/>
      <w:spacing w:val="-6"/>
      <w:kern w:val="44"/>
      <w:sz w:val="30"/>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5">
    <w:name w:val="annotation text"/>
    <w:basedOn w:val="1"/>
    <w:link w:val="20"/>
    <w:semiHidden/>
    <w:unhideWhenUsed/>
    <w:qFormat/>
    <w:uiPriority w:val="99"/>
    <w:pPr>
      <w:jc w:val="left"/>
    </w:pPr>
  </w:style>
  <w:style w:type="paragraph" w:styleId="6">
    <w:name w:val="Body Text Indent"/>
    <w:basedOn w:val="1"/>
    <w:uiPriority w:val="0"/>
    <w:pPr>
      <w:spacing w:line="460" w:lineRule="exact"/>
      <w:ind w:firstLine="560" w:firstLineChars="200"/>
    </w:pPr>
    <w:rPr>
      <w:kern w:val="2"/>
      <w:szCs w:val="24"/>
    </w:rPr>
  </w:style>
  <w:style w:type="paragraph" w:styleId="7">
    <w:name w:val="Balloon Text"/>
    <w:basedOn w:val="1"/>
    <w:link w:val="22"/>
    <w:semiHidden/>
    <w:unhideWhenUsed/>
    <w:qFormat/>
    <w:uiPriority w:val="99"/>
    <w:rPr>
      <w:sz w:val="18"/>
      <w:szCs w:val="18"/>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1"/>
    <w:semiHidden/>
    <w:unhideWhenUsed/>
    <w:qFormat/>
    <w:uiPriority w:val="99"/>
    <w:rPr>
      <w:b/>
      <w:bCs/>
    </w:rPr>
  </w:style>
  <w:style w:type="paragraph" w:styleId="11">
    <w:name w:val="Body Text First Indent 2"/>
    <w:basedOn w:val="6"/>
    <w:qFormat/>
    <w:uiPriority w:val="0"/>
    <w:pPr>
      <w:snapToGrid/>
      <w:spacing w:after="120" w:line="312" w:lineRule="atLeast"/>
      <w:ind w:left="420" w:firstLine="420"/>
      <w:textAlignment w:val="baseline"/>
    </w:pPr>
    <w:rPr>
      <w:rFonts w:ascii="Calibri" w:hAnsi="Calibri" w:eastAsia="宋体"/>
      <w:kern w:val="0"/>
      <w:sz w:val="21"/>
      <w:szCs w:val="20"/>
    </w:r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semiHidden/>
    <w:qFormat/>
    <w:uiPriority w:val="99"/>
    <w:rPr>
      <w:sz w:val="18"/>
      <w:szCs w:val="18"/>
    </w:rPr>
  </w:style>
  <w:style w:type="character" w:customStyle="1" w:styleId="17">
    <w:name w:val="排版正文 Char Char"/>
    <w:link w:val="18"/>
    <w:qFormat/>
    <w:locked/>
    <w:uiPriority w:val="0"/>
    <w:rPr>
      <w:rFonts w:ascii="仿宋_GB2312" w:hAnsi="Times New Roman" w:eastAsia="仿宋_GB2312"/>
      <w:spacing w:val="8"/>
      <w:sz w:val="28"/>
      <w:szCs w:val="21"/>
    </w:rPr>
  </w:style>
  <w:style w:type="paragraph" w:customStyle="1" w:styleId="18">
    <w:name w:val="排版正文"/>
    <w:link w:val="17"/>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9">
    <w:name w:val="List Paragraph"/>
    <w:basedOn w:val="1"/>
    <w:qFormat/>
    <w:uiPriority w:val="34"/>
    <w:pPr>
      <w:ind w:firstLine="420" w:firstLineChars="200"/>
    </w:pPr>
  </w:style>
  <w:style w:type="character" w:customStyle="1" w:styleId="20">
    <w:name w:val="批注文字 Char"/>
    <w:basedOn w:val="13"/>
    <w:link w:val="5"/>
    <w:semiHidden/>
    <w:qFormat/>
    <w:uiPriority w:val="99"/>
  </w:style>
  <w:style w:type="character" w:customStyle="1" w:styleId="21">
    <w:name w:val="批注主题 Char"/>
    <w:basedOn w:val="20"/>
    <w:link w:val="10"/>
    <w:semiHidden/>
    <w:qFormat/>
    <w:uiPriority w:val="99"/>
    <w:rPr>
      <w:b/>
      <w:bCs/>
    </w:rPr>
  </w:style>
  <w:style w:type="character" w:customStyle="1" w:styleId="22">
    <w:name w:val="批注框文本 Char"/>
    <w:basedOn w:val="13"/>
    <w:link w:val="7"/>
    <w:semiHidden/>
    <w:qFormat/>
    <w:uiPriority w:val="99"/>
    <w:rPr>
      <w:sz w:val="18"/>
      <w:szCs w:val="18"/>
    </w:rPr>
  </w:style>
  <w:style w:type="paragraph" w:customStyle="1" w:styleId="23">
    <w:name w:val="表格内容居中"/>
    <w:basedOn w:val="1"/>
    <w:link w:val="26"/>
    <w:uiPriority w:val="0"/>
    <w:pPr>
      <w:spacing w:line="340" w:lineRule="exact"/>
      <w:jc w:val="center"/>
    </w:pPr>
    <w:rPr>
      <w:rFonts w:hint="eastAsia" w:ascii="仿宋" w:hAnsi="仿宋" w:eastAsia="仿宋" w:cs="Times New Roman"/>
      <w:szCs w:val="21"/>
    </w:rPr>
  </w:style>
  <w:style w:type="paragraph" w:customStyle="1" w:styleId="24">
    <w:name w:val="表格内容靠左"/>
    <w:basedOn w:val="1"/>
    <w:link w:val="27"/>
    <w:qFormat/>
    <w:uiPriority w:val="0"/>
    <w:pPr>
      <w:spacing w:line="340" w:lineRule="exact"/>
      <w:jc w:val="left"/>
    </w:pPr>
    <w:rPr>
      <w:rFonts w:hint="eastAsia" w:ascii="仿宋" w:hAnsi="仿宋" w:eastAsia="仿宋" w:cs="Times New Roman"/>
      <w:szCs w:val="21"/>
    </w:rPr>
  </w:style>
  <w:style w:type="paragraph" w:customStyle="1" w:styleId="25">
    <w:name w:val="段落"/>
    <w:basedOn w:val="1"/>
    <w:link w:val="28"/>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6">
    <w:name w:val="表格内容居中 Char"/>
    <w:link w:val="23"/>
    <w:qFormat/>
    <w:uiPriority w:val="0"/>
    <w:rPr>
      <w:rFonts w:hint="eastAsia" w:ascii="仿宋" w:hAnsi="仿宋" w:eastAsia="仿宋" w:cs="Times New Roman"/>
      <w:szCs w:val="21"/>
    </w:rPr>
  </w:style>
  <w:style w:type="character" w:customStyle="1" w:styleId="27">
    <w:name w:val="表格内容靠左 Char"/>
    <w:link w:val="24"/>
    <w:qFormat/>
    <w:uiPriority w:val="0"/>
    <w:rPr>
      <w:rFonts w:hint="eastAsia" w:ascii="仿宋" w:hAnsi="仿宋" w:eastAsia="仿宋" w:cs="Times New Roman"/>
      <w:szCs w:val="21"/>
    </w:rPr>
  </w:style>
  <w:style w:type="character" w:customStyle="1" w:styleId="28">
    <w:name w:val="段落 Char"/>
    <w:link w:val="25"/>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1098</Words>
  <Characters>1147</Characters>
  <Lines>9</Lines>
  <Paragraphs>2</Paragraphs>
  <TotalTime>0</TotalTime>
  <ScaleCrop>false</ScaleCrop>
  <LinksUpToDate>false</LinksUpToDate>
  <CharactersWithSpaces>1167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2023-05-12T06:12:56Z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7D6364B22AD54AAA9A4D7C4376E3DD70_13</vt:lpwstr>
  </property>
</Properties>
</file>