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301"/>
        <w:gridCol w:w="1175"/>
        <w:gridCol w:w="2042"/>
        <w:gridCol w:w="984"/>
        <w:gridCol w:w="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广东方中高新材料有限公司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英德市英红工业园精细化工基地内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江小姐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该公司所在厂区总占地面积12189.7m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，总建筑面积约为8985.43m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，主要是进行表面活性剂（包括：阴离子表面活性剂、可聚合离子表面活性剂、复配表面活性剂等）的生产，现有员工37人。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现场调查人员</w:t>
            </w:r>
          </w:p>
        </w:tc>
        <w:tc>
          <w:tcPr>
            <w:tcW w:w="1293"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丁伦</w:t>
            </w:r>
            <w:r>
              <w:rPr>
                <w:rFonts w:hint="default" w:ascii="仿宋" w:hAnsi="仿宋" w:eastAsia="仿宋" w:cs="Times New Roman"/>
                <w:szCs w:val="21"/>
                <w:highlight w:val="none"/>
                <w:lang w:val="en-US" w:eastAsia="zh-CN"/>
              </w:rPr>
              <w:t>、</w:t>
            </w:r>
            <w:r>
              <w:rPr>
                <w:rFonts w:hint="eastAsia" w:ascii="仿宋" w:hAnsi="仿宋" w:eastAsia="仿宋" w:cs="Times New Roman"/>
                <w:szCs w:val="21"/>
                <w:highlight w:val="none"/>
                <w:lang w:val="en-US" w:eastAsia="zh-CN"/>
              </w:rPr>
              <w:t>何曼静</w:t>
            </w:r>
          </w:p>
        </w:tc>
        <w:tc>
          <w:tcPr>
            <w:tcW w:w="66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调查时间</w:t>
            </w:r>
          </w:p>
        </w:tc>
        <w:tc>
          <w:tcPr>
            <w:tcW w:w="1147"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w:t>
            </w:r>
            <w:r>
              <w:rPr>
                <w:rFonts w:hint="eastAsia" w:ascii="仿宋" w:hAnsi="仿宋" w:eastAsia="仿宋" w:cs="Times New Roman"/>
                <w:szCs w:val="21"/>
                <w:highlight w:val="none"/>
                <w:lang w:val="en-US" w:eastAsia="zh-CN"/>
              </w:rPr>
              <w:t>4.4.11</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江小姐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检测人员</w:t>
            </w:r>
          </w:p>
        </w:tc>
        <w:tc>
          <w:tcPr>
            <w:tcW w:w="1293"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丁伦、饶望冬</w:t>
            </w:r>
          </w:p>
        </w:tc>
        <w:tc>
          <w:tcPr>
            <w:tcW w:w="66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检测时间</w:t>
            </w:r>
          </w:p>
        </w:tc>
        <w:tc>
          <w:tcPr>
            <w:tcW w:w="1147"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w:t>
            </w:r>
            <w:r>
              <w:rPr>
                <w:rFonts w:hint="eastAsia" w:ascii="仿宋" w:hAnsi="仿宋" w:eastAsia="仿宋" w:cs="Times New Roman"/>
                <w:szCs w:val="21"/>
                <w:highlight w:val="none"/>
                <w:lang w:val="en-US" w:eastAsia="zh-CN"/>
              </w:rPr>
              <w:t>4.4.18-4.20</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江小姐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该公司存在的职业病危害因素包括：甲苯、二甲苯、苯乙烯、丁酮、环己酮、环己烷、戊烷、正己烷、甲基丙烯酸甲酯、丙烯酸、甲醇、异丙醇、丁醇、乙酸、硫酸及三氧化硫、甲酚、苯酚、丙烯酰胺、2-丁氧基乙醇、甲醛、马来酸酐、氢氧化钾、氢氧化钠、磷酸、乙二醇、氢醌（对苯二酚）、异丙胺、甲基丙烯酸、乙酸酐、亚硫酸钠、甲基丙烯酸缩水甘油酯、尿素、过氧化苯甲酰、过硫酸盐、氯化氢及盐酸、硫化氢、氨、其他粉尘、活性炭粉尘、高温。</w:t>
            </w:r>
          </w:p>
          <w:p>
            <w:pPr>
              <w:spacing w:line="340" w:lineRule="exact"/>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职业病危害因素检测结果：</w:t>
            </w:r>
          </w:p>
          <w:p>
            <w:pPr>
              <w:spacing w:line="340" w:lineRule="exact"/>
              <w:ind w:firstLine="420" w:firstLineChars="200"/>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val="en-US" w:eastAsia="zh-CN"/>
              </w:rPr>
              <w:t>各岗位生产性毒物、粉尘、噪声、高温的检测结果均低于接触限值。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评价结论与建议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1）建议该公司在丙烯酰胺、甲醛（高毒）的生产及储存区域设置相应的有毒气体报警器，并与通风设施进行连锁。</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2）建议该公司在丙类仓库设置事故通风设施，并保证事故通风次数大于12次/h。</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妥善保管职业健康检查报告，完善职业卫生管理档案。</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各岗位具体检查项目参照本报告内容（表8.2-2、表8.2-3）和《职业健康监护技术规范》（GBZ 188-2014）。</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根据《工作场所职业病危害警示标识》（GBZ158-2003）、《用人单位职业病危害告知与警示标识管理规范》（原安监总厅安健〔2014〕111号）的要求，在存在“致癌”“致畸”等有害物质或者可能导致急性职业性中毒、使用高毒物品的作业岗位设置职业卫生告知卡；在有毒物品工作场所设置“当心中毒”“当心腐蚀”“注意通风”“戴防毒面具”“戴防护手套”“戴防护眼镜”等警示标识；在高温工作场所设置“当心中暑”“注意高温“注意通风”等警示标识。继续完善职业卫生警示标识及告知卡的设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按照《职业卫生档案管理规范》（原安监总厅安健〔2013〕171号）的要求，继续完善相关的职业卫生管理档案、职业病危害因素监测与检测评价档案，职业卫生宣传培训档案、用人单位职业健康监护管理档案和劳动者个人职业健康监护档案等内容。</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6）其他建议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①建议该公司按照《国卫办关于进一步加强用人单位职业健康培训工作的通知》（国卫办职健函〔2022〕441号）的要求，加强作业人员职业卫生知识的培训。建议该公司职业卫生管理人员尽快完成本年度的职业卫生继续教育。</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②建议该公司在本项目及本年度职业健康检查完成后，尽快完成职业病危害项目申报的更新工作。</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③建议该公司在本次评价完成后，将检测结果粘贴到职业卫生公告栏上。</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④建议该公司每半年对所设置的职业卫生警示标识及告知卡进行检查，若发现老化或损坏的及时进行更换。</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⑤建议该公司严格按照所制定的《职业病防护设施维护检修制度》，加强对职业病防护设施的维护管理。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2NGQ3M2YzNjQyYTkwOWI0OTg1Y2I0M2Q1ZmVkMDM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22C2C17"/>
    <w:rsid w:val="023D0B8F"/>
    <w:rsid w:val="03E91FCE"/>
    <w:rsid w:val="04363A1E"/>
    <w:rsid w:val="046F5658"/>
    <w:rsid w:val="04B472CB"/>
    <w:rsid w:val="05594203"/>
    <w:rsid w:val="05C84116"/>
    <w:rsid w:val="05E25786"/>
    <w:rsid w:val="05E337FC"/>
    <w:rsid w:val="06971FBD"/>
    <w:rsid w:val="0745615D"/>
    <w:rsid w:val="085F7AA2"/>
    <w:rsid w:val="08744698"/>
    <w:rsid w:val="09214C02"/>
    <w:rsid w:val="093820FC"/>
    <w:rsid w:val="096D2D05"/>
    <w:rsid w:val="097A7FD3"/>
    <w:rsid w:val="0983368B"/>
    <w:rsid w:val="099C619C"/>
    <w:rsid w:val="0A0D4238"/>
    <w:rsid w:val="0A3D36E8"/>
    <w:rsid w:val="0A897216"/>
    <w:rsid w:val="0A98139A"/>
    <w:rsid w:val="0AF3628F"/>
    <w:rsid w:val="0B35399D"/>
    <w:rsid w:val="0B7D2159"/>
    <w:rsid w:val="0C943AA2"/>
    <w:rsid w:val="0CBC40CB"/>
    <w:rsid w:val="0D33381F"/>
    <w:rsid w:val="0D5D3E94"/>
    <w:rsid w:val="0DB241E0"/>
    <w:rsid w:val="0DFE5677"/>
    <w:rsid w:val="0E055229"/>
    <w:rsid w:val="0EDC135D"/>
    <w:rsid w:val="0F3533E3"/>
    <w:rsid w:val="0F9912D9"/>
    <w:rsid w:val="0FA83A21"/>
    <w:rsid w:val="0FD04F1D"/>
    <w:rsid w:val="0FDA5C70"/>
    <w:rsid w:val="10046B9B"/>
    <w:rsid w:val="10F845FF"/>
    <w:rsid w:val="11174F6F"/>
    <w:rsid w:val="112C7A85"/>
    <w:rsid w:val="11757C65"/>
    <w:rsid w:val="118E6431"/>
    <w:rsid w:val="11A37A34"/>
    <w:rsid w:val="11BA35F1"/>
    <w:rsid w:val="11D131E6"/>
    <w:rsid w:val="123C4CE7"/>
    <w:rsid w:val="12772793"/>
    <w:rsid w:val="128A091B"/>
    <w:rsid w:val="13050ECF"/>
    <w:rsid w:val="13B14F39"/>
    <w:rsid w:val="141D14AB"/>
    <w:rsid w:val="1476335E"/>
    <w:rsid w:val="1586775E"/>
    <w:rsid w:val="16655581"/>
    <w:rsid w:val="17932E87"/>
    <w:rsid w:val="17F673BF"/>
    <w:rsid w:val="184E1992"/>
    <w:rsid w:val="19810F0A"/>
    <w:rsid w:val="1A134FD2"/>
    <w:rsid w:val="1A615541"/>
    <w:rsid w:val="1A8816B5"/>
    <w:rsid w:val="1AC4293F"/>
    <w:rsid w:val="1B3F462B"/>
    <w:rsid w:val="1B5865B3"/>
    <w:rsid w:val="1B78307B"/>
    <w:rsid w:val="1B7B495C"/>
    <w:rsid w:val="1C81326A"/>
    <w:rsid w:val="1CDA105D"/>
    <w:rsid w:val="1DFB046C"/>
    <w:rsid w:val="1E5D4AE2"/>
    <w:rsid w:val="1E7A2AF8"/>
    <w:rsid w:val="1F026649"/>
    <w:rsid w:val="205630F0"/>
    <w:rsid w:val="2170622F"/>
    <w:rsid w:val="22B71C55"/>
    <w:rsid w:val="22C32FEA"/>
    <w:rsid w:val="22DF27E2"/>
    <w:rsid w:val="22E60FE0"/>
    <w:rsid w:val="22ED255B"/>
    <w:rsid w:val="234D2E21"/>
    <w:rsid w:val="23B02B18"/>
    <w:rsid w:val="23B05D8F"/>
    <w:rsid w:val="24201B09"/>
    <w:rsid w:val="24212E47"/>
    <w:rsid w:val="24832815"/>
    <w:rsid w:val="24BF02CB"/>
    <w:rsid w:val="24F444EE"/>
    <w:rsid w:val="25662132"/>
    <w:rsid w:val="256F54C5"/>
    <w:rsid w:val="257E5312"/>
    <w:rsid w:val="25CD5C03"/>
    <w:rsid w:val="26284A18"/>
    <w:rsid w:val="279F712B"/>
    <w:rsid w:val="28740979"/>
    <w:rsid w:val="2A413DAE"/>
    <w:rsid w:val="2A460333"/>
    <w:rsid w:val="2A566F28"/>
    <w:rsid w:val="2AB84DE6"/>
    <w:rsid w:val="2AF72B6B"/>
    <w:rsid w:val="2B810195"/>
    <w:rsid w:val="2BBB13C9"/>
    <w:rsid w:val="2BFA5B09"/>
    <w:rsid w:val="2C2C73FB"/>
    <w:rsid w:val="2C385DA0"/>
    <w:rsid w:val="2C3C39FF"/>
    <w:rsid w:val="2C6117C4"/>
    <w:rsid w:val="2D99053D"/>
    <w:rsid w:val="2DB674EC"/>
    <w:rsid w:val="2E114561"/>
    <w:rsid w:val="2E681913"/>
    <w:rsid w:val="2E9C5628"/>
    <w:rsid w:val="2EA72D69"/>
    <w:rsid w:val="2FC91E74"/>
    <w:rsid w:val="2FCC56C2"/>
    <w:rsid w:val="30446B3E"/>
    <w:rsid w:val="306A10C8"/>
    <w:rsid w:val="310446E2"/>
    <w:rsid w:val="31ED0CE4"/>
    <w:rsid w:val="32020A91"/>
    <w:rsid w:val="32034EF7"/>
    <w:rsid w:val="329F305B"/>
    <w:rsid w:val="32A80965"/>
    <w:rsid w:val="32EA744A"/>
    <w:rsid w:val="337324E5"/>
    <w:rsid w:val="338369EF"/>
    <w:rsid w:val="34030A42"/>
    <w:rsid w:val="34B0573E"/>
    <w:rsid w:val="34C43209"/>
    <w:rsid w:val="34DD368C"/>
    <w:rsid w:val="35ED4532"/>
    <w:rsid w:val="36F55F5E"/>
    <w:rsid w:val="379A445F"/>
    <w:rsid w:val="37BC7E4B"/>
    <w:rsid w:val="384F06F9"/>
    <w:rsid w:val="386335F0"/>
    <w:rsid w:val="38986280"/>
    <w:rsid w:val="38AE3672"/>
    <w:rsid w:val="38FC2442"/>
    <w:rsid w:val="391A60AE"/>
    <w:rsid w:val="392755EE"/>
    <w:rsid w:val="393C79FB"/>
    <w:rsid w:val="39863298"/>
    <w:rsid w:val="39CF0E62"/>
    <w:rsid w:val="39D13637"/>
    <w:rsid w:val="3A415082"/>
    <w:rsid w:val="3A69467A"/>
    <w:rsid w:val="3AF64E38"/>
    <w:rsid w:val="3B4262F3"/>
    <w:rsid w:val="3C344673"/>
    <w:rsid w:val="3CDC1242"/>
    <w:rsid w:val="3D1E1295"/>
    <w:rsid w:val="3DB334D8"/>
    <w:rsid w:val="3DDC0EF7"/>
    <w:rsid w:val="3DDD3902"/>
    <w:rsid w:val="3E432AAE"/>
    <w:rsid w:val="3E7013C9"/>
    <w:rsid w:val="3E8C18E6"/>
    <w:rsid w:val="3E8D6156"/>
    <w:rsid w:val="3EA370A9"/>
    <w:rsid w:val="3EB43064"/>
    <w:rsid w:val="3F312ACB"/>
    <w:rsid w:val="3FAF61F9"/>
    <w:rsid w:val="3FC56C5D"/>
    <w:rsid w:val="3FC720B2"/>
    <w:rsid w:val="3FCD0C8D"/>
    <w:rsid w:val="40922C7C"/>
    <w:rsid w:val="40C764D4"/>
    <w:rsid w:val="41006A35"/>
    <w:rsid w:val="41013860"/>
    <w:rsid w:val="41EB02E9"/>
    <w:rsid w:val="42973632"/>
    <w:rsid w:val="43696829"/>
    <w:rsid w:val="43AD6F36"/>
    <w:rsid w:val="43E7475E"/>
    <w:rsid w:val="444D05BE"/>
    <w:rsid w:val="444E3803"/>
    <w:rsid w:val="45B54C00"/>
    <w:rsid w:val="465670F7"/>
    <w:rsid w:val="46DE4CD7"/>
    <w:rsid w:val="471C20EE"/>
    <w:rsid w:val="47BC08E5"/>
    <w:rsid w:val="47FD3CCE"/>
    <w:rsid w:val="489919E1"/>
    <w:rsid w:val="48C44256"/>
    <w:rsid w:val="48C94013"/>
    <w:rsid w:val="49062CF8"/>
    <w:rsid w:val="493B6A03"/>
    <w:rsid w:val="49427DCA"/>
    <w:rsid w:val="49836818"/>
    <w:rsid w:val="49B13B80"/>
    <w:rsid w:val="49D10E80"/>
    <w:rsid w:val="4A407E68"/>
    <w:rsid w:val="4A425141"/>
    <w:rsid w:val="4A6D183E"/>
    <w:rsid w:val="4AC00FE3"/>
    <w:rsid w:val="4AC4664F"/>
    <w:rsid w:val="4B43101F"/>
    <w:rsid w:val="4B831A2D"/>
    <w:rsid w:val="4B8C5A1B"/>
    <w:rsid w:val="4B9A779E"/>
    <w:rsid w:val="4BAA4805"/>
    <w:rsid w:val="4CA02851"/>
    <w:rsid w:val="4CD40000"/>
    <w:rsid w:val="4D163C3E"/>
    <w:rsid w:val="4DB0066E"/>
    <w:rsid w:val="4DED16AB"/>
    <w:rsid w:val="4DF40F01"/>
    <w:rsid w:val="4E200D3B"/>
    <w:rsid w:val="4E347AA3"/>
    <w:rsid w:val="4E813ADD"/>
    <w:rsid w:val="4F5C68ED"/>
    <w:rsid w:val="4F8265E1"/>
    <w:rsid w:val="4FB855E9"/>
    <w:rsid w:val="4FF758B6"/>
    <w:rsid w:val="50D15247"/>
    <w:rsid w:val="512C2345"/>
    <w:rsid w:val="515A1D00"/>
    <w:rsid w:val="519C0207"/>
    <w:rsid w:val="51CE4DF0"/>
    <w:rsid w:val="523B1A46"/>
    <w:rsid w:val="52824423"/>
    <w:rsid w:val="53A60229"/>
    <w:rsid w:val="5429164F"/>
    <w:rsid w:val="54AC551B"/>
    <w:rsid w:val="55FA2FD9"/>
    <w:rsid w:val="58546E79"/>
    <w:rsid w:val="587649C4"/>
    <w:rsid w:val="58EB2640"/>
    <w:rsid w:val="591661C0"/>
    <w:rsid w:val="593340C0"/>
    <w:rsid w:val="593560BB"/>
    <w:rsid w:val="593E7CA2"/>
    <w:rsid w:val="59551042"/>
    <w:rsid w:val="599324EC"/>
    <w:rsid w:val="59B54DBC"/>
    <w:rsid w:val="59F310C3"/>
    <w:rsid w:val="5A7668FF"/>
    <w:rsid w:val="5AD91257"/>
    <w:rsid w:val="5AF34ABD"/>
    <w:rsid w:val="5B0B6673"/>
    <w:rsid w:val="5C4E31D9"/>
    <w:rsid w:val="5C9163EF"/>
    <w:rsid w:val="5D0358C3"/>
    <w:rsid w:val="5D655039"/>
    <w:rsid w:val="5DB73636"/>
    <w:rsid w:val="5E2E29DB"/>
    <w:rsid w:val="5FB33ED8"/>
    <w:rsid w:val="5FCF7F47"/>
    <w:rsid w:val="606326E4"/>
    <w:rsid w:val="60A35A27"/>
    <w:rsid w:val="60C74A21"/>
    <w:rsid w:val="60F4059A"/>
    <w:rsid w:val="619873BC"/>
    <w:rsid w:val="61D03C31"/>
    <w:rsid w:val="61ED2B7C"/>
    <w:rsid w:val="62202C06"/>
    <w:rsid w:val="62C73780"/>
    <w:rsid w:val="62D13DCC"/>
    <w:rsid w:val="62FD1B58"/>
    <w:rsid w:val="634D0270"/>
    <w:rsid w:val="63547A09"/>
    <w:rsid w:val="63D76110"/>
    <w:rsid w:val="63EF3ED8"/>
    <w:rsid w:val="644F0FB6"/>
    <w:rsid w:val="64E31BF6"/>
    <w:rsid w:val="6512485F"/>
    <w:rsid w:val="6524773E"/>
    <w:rsid w:val="65A645AF"/>
    <w:rsid w:val="65B00957"/>
    <w:rsid w:val="65C54843"/>
    <w:rsid w:val="65D57061"/>
    <w:rsid w:val="662612F7"/>
    <w:rsid w:val="66325962"/>
    <w:rsid w:val="66895ED6"/>
    <w:rsid w:val="668A68F6"/>
    <w:rsid w:val="67697C8C"/>
    <w:rsid w:val="686E3FED"/>
    <w:rsid w:val="68AB2361"/>
    <w:rsid w:val="68D643E7"/>
    <w:rsid w:val="69530817"/>
    <w:rsid w:val="69B04386"/>
    <w:rsid w:val="69D15D20"/>
    <w:rsid w:val="69E77EE2"/>
    <w:rsid w:val="6A497BD0"/>
    <w:rsid w:val="6ABF60C2"/>
    <w:rsid w:val="6BEF1DD1"/>
    <w:rsid w:val="6C8851EE"/>
    <w:rsid w:val="6E2470D7"/>
    <w:rsid w:val="6E524B44"/>
    <w:rsid w:val="6E9A3488"/>
    <w:rsid w:val="6F4A519B"/>
    <w:rsid w:val="6F653F09"/>
    <w:rsid w:val="6FE50A20"/>
    <w:rsid w:val="70147557"/>
    <w:rsid w:val="701D3EBA"/>
    <w:rsid w:val="702C2AF3"/>
    <w:rsid w:val="70645DE9"/>
    <w:rsid w:val="708625A6"/>
    <w:rsid w:val="70D50035"/>
    <w:rsid w:val="70E91ACF"/>
    <w:rsid w:val="710C10F0"/>
    <w:rsid w:val="7124712B"/>
    <w:rsid w:val="713A7A58"/>
    <w:rsid w:val="7195798E"/>
    <w:rsid w:val="72177E12"/>
    <w:rsid w:val="721A7053"/>
    <w:rsid w:val="72F36989"/>
    <w:rsid w:val="73FC35FE"/>
    <w:rsid w:val="74DF0225"/>
    <w:rsid w:val="75046F0E"/>
    <w:rsid w:val="756C1E83"/>
    <w:rsid w:val="75C87229"/>
    <w:rsid w:val="76D53613"/>
    <w:rsid w:val="76E0681B"/>
    <w:rsid w:val="77100BCB"/>
    <w:rsid w:val="77855BA7"/>
    <w:rsid w:val="7793772C"/>
    <w:rsid w:val="77EE2A2C"/>
    <w:rsid w:val="788E2A8E"/>
    <w:rsid w:val="78955B8C"/>
    <w:rsid w:val="78F56D1D"/>
    <w:rsid w:val="798C7E32"/>
    <w:rsid w:val="7B2B3FEA"/>
    <w:rsid w:val="7B3639AE"/>
    <w:rsid w:val="7BA21E8B"/>
    <w:rsid w:val="7BDF73D3"/>
    <w:rsid w:val="7BF56302"/>
    <w:rsid w:val="7D9940D6"/>
    <w:rsid w:val="7DE26BE4"/>
    <w:rsid w:val="7DE82510"/>
    <w:rsid w:val="7E786F03"/>
    <w:rsid w:val="7EE37ECA"/>
    <w:rsid w:val="7F0526E2"/>
    <w:rsid w:val="7F122E3B"/>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basedOn w:val="1"/>
    <w:next w:val="4"/>
    <w:autoRedefine/>
    <w:qFormat/>
    <w:uiPriority w:val="0"/>
    <w:pPr>
      <w:spacing w:line="460" w:lineRule="exact"/>
    </w:pPr>
    <w:rPr>
      <w:rFonts w:ascii="仿宋_GB2312"/>
      <w:color w:val="000000"/>
      <w:spacing w:val="8"/>
      <w:szCs w:val="24"/>
    </w:rPr>
  </w:style>
  <w:style w:type="paragraph" w:styleId="4">
    <w:name w:val="List Bullet 5"/>
    <w:basedOn w:val="1"/>
    <w:autoRedefine/>
    <w:semiHidden/>
    <w:unhideWhenUsed/>
    <w:qFormat/>
    <w:uiPriority w:val="99"/>
    <w:pPr>
      <w:numPr>
        <w:ilvl w:val="0"/>
        <w:numId w:val="1"/>
      </w:numPr>
    </w:pPr>
  </w:style>
  <w:style w:type="paragraph" w:styleId="5">
    <w:name w:val="Body Text Indent"/>
    <w:basedOn w:val="1"/>
    <w:next w:val="1"/>
    <w:autoRedefine/>
    <w:semiHidden/>
    <w:unhideWhenUsed/>
    <w:qFormat/>
    <w:uiPriority w:val="99"/>
    <w:pPr>
      <w:spacing w:after="120" w:afterLines="0" w:afterAutospacing="0"/>
      <w:ind w:left="420" w:leftChars="2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autoRedefine/>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autoRedefine/>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autoRedefine/>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autoRedefine/>
    <w:qFormat/>
    <w:locked/>
    <w:uiPriority w:val="0"/>
    <w:rPr>
      <w:rFonts w:ascii="仿宋_GB2312" w:hAnsi="Times New Roman" w:eastAsia="仿宋_GB2312"/>
      <w:spacing w:val="8"/>
      <w:sz w:val="28"/>
      <w:szCs w:val="21"/>
    </w:rPr>
  </w:style>
  <w:style w:type="paragraph" w:customStyle="1" w:styleId="19">
    <w:name w:val="排版正文"/>
    <w:link w:val="18"/>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autoRedefine/>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autoRedefine/>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autoRedefine/>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1011</Words>
  <Characters>1082</Characters>
  <Lines>6</Lines>
  <Paragraphs>1</Paragraphs>
  <TotalTime>0</TotalTime>
  <ScaleCrop>false</ScaleCrop>
  <LinksUpToDate>false</LinksUpToDate>
  <CharactersWithSpaces>1083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1111</cp:lastModifiedBy>
  <dcterms:modified xsi:type="dcterms:W3CDTF">2024-06-20T06:40:38Z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115098DA71D148B88D029956B58E938E</vt:lpwstr>
  </property>
</Properties>
</file>