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50"/>
        <w:gridCol w:w="2110"/>
        <w:gridCol w:w="1587"/>
        <w:gridCol w:w="1858"/>
        <w:gridCol w:w="849"/>
        <w:gridCol w:w="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东方国际集装箱（广州）有限公司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东方国际集装箱（广州）有限公司特箱生产线技术改造项目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广州市南沙区万顷沙镇红安路2号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hint="eastAsia" w:ascii="仿宋" w:hAnsi="仿宋" w:eastAsia="仿宋" w:cs="Times New Roman"/>
                <w:szCs w:val="21"/>
                <w:lang w:eastAsia="zh-CN"/>
              </w:rPr>
              <w:t>□</w:t>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廖工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8"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该公司投资概算4815万元人民币，在原有自编1号厂房处改建特箱生产线一条，建设该项目。</w:t>
            </w:r>
            <w:bookmarkStart w:id="0" w:name="_GoBack"/>
            <w:bookmarkEnd w:id="0"/>
            <w:r>
              <w:rPr>
                <w:rFonts w:hint="eastAsia" w:ascii="仿宋" w:hAnsi="仿宋" w:eastAsia="仿宋" w:cs="Times New Roman"/>
                <w:szCs w:val="21"/>
                <w:lang w:val="en-US" w:eastAsia="zh-CN"/>
              </w:rPr>
              <w:t>该项目建筑面积5680平方米，现有员工238人，可年产20′GP散货箱10000TEU、20′GP侧开门箱5000TEU、20′开顶箱5000TEU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丁伦、何曼静</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2024.03.21</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廖工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万涛、</w:t>
            </w:r>
            <w:r>
              <w:rPr>
                <w:rFonts w:hint="eastAsia" w:ascii="仿宋" w:hAnsi="仿宋" w:eastAsia="仿宋" w:cs="Times New Roman"/>
                <w:szCs w:val="21"/>
                <w:lang w:val="en-US" w:eastAsia="zh-CN"/>
              </w:rPr>
              <w:t>甄嘉城</w:t>
            </w:r>
            <w:r>
              <w:rPr>
                <w:rFonts w:hint="eastAsia" w:ascii="仿宋" w:hAnsi="仿宋" w:eastAsia="仿宋" w:cs="Times New Roman"/>
                <w:szCs w:val="21"/>
              </w:rPr>
              <w:t>、</w:t>
            </w:r>
            <w:r>
              <w:rPr>
                <w:rFonts w:hint="eastAsia" w:ascii="仿宋" w:hAnsi="仿宋" w:eastAsia="仿宋" w:cs="Times New Roman"/>
                <w:szCs w:val="21"/>
                <w:lang w:val="en-US" w:eastAsia="zh-CN"/>
              </w:rPr>
              <w:t>饶望冬、丁伦</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2024</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4</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1日~3、</w:t>
            </w:r>
            <w:r>
              <w:rPr>
                <w:rFonts w:hint="eastAsia" w:ascii="仿宋" w:hAnsi="仿宋" w:eastAsia="仿宋" w:cs="Times New Roman"/>
                <w:szCs w:val="21"/>
                <w:lang w:val="en-US" w:eastAsia="zh-CN"/>
              </w:rPr>
              <w:t>2</w:t>
            </w:r>
            <w:r>
              <w:rPr>
                <w:rFonts w:hint="default" w:ascii="仿宋" w:hAnsi="仿宋" w:eastAsia="仿宋" w:cs="Times New Roman"/>
                <w:szCs w:val="21"/>
                <w:lang w:val="en-US" w:eastAsia="zh-CN"/>
              </w:rPr>
              <w:t>024</w:t>
            </w:r>
            <w:r>
              <w:rPr>
                <w:rFonts w:hint="eastAsia" w:ascii="仿宋" w:hAnsi="仿宋" w:eastAsia="仿宋" w:cs="Times New Roman"/>
                <w:szCs w:val="21"/>
                <w:lang w:val="en-US" w:eastAsia="zh-CN"/>
              </w:rPr>
              <w:t>.</w:t>
            </w:r>
            <w:r>
              <w:rPr>
                <w:rFonts w:hint="eastAsia" w:ascii="仿宋" w:hAnsi="仿宋" w:eastAsia="仿宋" w:cs="Times New Roman"/>
                <w:szCs w:val="21"/>
                <w:lang w:val="en-US" w:eastAsia="zh-CN"/>
              </w:rPr>
              <w:t>4.2</w:t>
            </w:r>
            <w:r>
              <w:rPr>
                <w:rFonts w:hint="default" w:ascii="仿宋" w:hAnsi="仿宋" w:eastAsia="仿宋" w:cs="Times New Roman"/>
                <w:szCs w:val="21"/>
                <w:lang w:val="en-US" w:eastAsia="zh-CN"/>
              </w:rPr>
              <w:t>3~25</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廖工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1）该项目存在于生产工艺中的职业病危害因素有：</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焊接车间：电焊烟尘、锰及其化合物、氮氧化合物、臭氧、一氧化碳、砂轮磨尘、噪声、紫外线、振动（手传振动）。（2）打砂车间：铁及其化合物粉尘、噪声。（3）喷漆车间：①使用水性漆时：苯、甲苯、甲醇、噪声；②使用油性漆时：苯、甲苯、二甲苯、乙苯、甲醇、丁醇、壬烷、丁酮、甲基丙烯酸甲酯、乙酸丁酯。（4）完工车间：木粉尘、甲醇、噪声。</w:t>
            </w:r>
          </w:p>
          <w:p>
            <w:pPr>
              <w:spacing w:line="320" w:lineRule="exact"/>
              <w:ind w:firstLine="420" w:firstLineChars="20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2）职业病危害因素检测结果</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该项目除了焊接车间前框班清渣工的锰及其无机化合物检测结果超过了接触限值以及焊接车间（焊接工、清渣工）、打砂车间打砂工、喷漆车间喷漆工、完工车间（铺木地板工、钻孔工、打螺钉工、贴标工、锁螺杆工、清灰工）的噪声检测结果超过了接触限值外，其他各岗位作业人员所接触到的</w:t>
            </w:r>
            <w:r>
              <w:rPr>
                <w:rFonts w:hint="default" w:ascii="仿宋" w:hAnsi="仿宋" w:eastAsia="仿宋" w:cs="Times New Roman"/>
                <w:szCs w:val="21"/>
                <w:lang w:val="en-US" w:eastAsia="zh-CN"/>
              </w:rPr>
              <w:t>职业病危害因素</w:t>
            </w:r>
            <w:r>
              <w:rPr>
                <w:rFonts w:hint="eastAsia" w:ascii="仿宋" w:hAnsi="仿宋" w:eastAsia="仿宋" w:cs="Times New Roman"/>
                <w:szCs w:val="21"/>
                <w:lang w:val="en-US" w:eastAsia="zh-CN"/>
              </w:rPr>
              <w:t>检测结果</w:t>
            </w:r>
            <w:r>
              <w:rPr>
                <w:rFonts w:hint="default" w:ascii="仿宋" w:hAnsi="仿宋" w:eastAsia="仿宋" w:cs="Times New Roman"/>
                <w:szCs w:val="21"/>
                <w:lang w:val="en-US" w:eastAsia="zh-CN"/>
              </w:rPr>
              <w:t>均</w:t>
            </w:r>
            <w:r>
              <w:rPr>
                <w:rFonts w:hint="eastAsia" w:ascii="仿宋" w:hAnsi="仿宋" w:eastAsia="仿宋" w:cs="Times New Roman"/>
                <w:szCs w:val="21"/>
                <w:lang w:val="en-US" w:eastAsia="zh-CN"/>
              </w:rPr>
              <w:t>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综上所述，该项目执行了国家的有关规定，针对职业病危害因素采取了相应的防护措施，当前基本满足国家和地方对职业病防治方面法律、法规、标准的要求；正常生产过程中，采取了控制效果评价报告所提对策措施和建议的情况下，得到了一定的控制，符合国家和地方对职业病防治方面法律、法规、标准的要求，能够达到职业病防护设施竣工验收条件。</w:t>
            </w:r>
          </w:p>
          <w:p>
            <w:pPr>
              <w:numPr>
                <w:ilvl w:val="0"/>
                <w:numId w:val="0"/>
              </w:num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rPr>
              <w:t>建议：</w:t>
            </w:r>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5"/>
              <w:gridCol w:w="723"/>
              <w:gridCol w:w="1054"/>
              <w:gridCol w:w="6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151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1"/>
                    <w:spacing w:line="240" w:lineRule="auto"/>
                    <w:rPr>
                      <w:rFonts w:hint="default" w:ascii="Times New Roman" w:hAnsi="Times New Roman" w:eastAsia="仿宋_GB2312" w:cs="Times New Roman"/>
                      <w:b w:val="0"/>
                      <w:bCs/>
                      <w:color w:val="000000"/>
                      <w:highlight w:val="none"/>
                      <w:lang w:val="en-US" w:eastAsia="zh-CN"/>
                    </w:rPr>
                  </w:pPr>
                  <w:r>
                    <w:rPr>
                      <w:rFonts w:hint="eastAsia" w:ascii="Times New Roman" w:hAnsi="Times New Roman" w:eastAsia="仿宋_GB2312" w:cs="Times New Roman"/>
                      <w:b w:val="0"/>
                      <w:bCs/>
                      <w:color w:val="000000"/>
                      <w:highlight w:val="none"/>
                      <w:lang w:val="en-US" w:eastAsia="zh-CN"/>
                    </w:rPr>
                    <w:t>类别/项目</w:t>
                  </w:r>
                </w:p>
              </w:tc>
              <w:tc>
                <w:tcPr>
                  <w:tcW w:w="3481" w:type="pct"/>
                  <w:tcBorders>
                    <w:top w:val="single" w:color="000000" w:sz="4" w:space="0"/>
                    <w:left w:val="single" w:color="000000" w:sz="4" w:space="0"/>
                    <w:bottom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r>
                    <w:rPr>
                      <w:rFonts w:hint="eastAsia" w:ascii="Times New Roman" w:hAnsi="Times New Roman" w:eastAsia="仿宋_GB2312" w:cs="Times New Roman"/>
                      <w:b w:val="0"/>
                      <w:bCs/>
                      <w:color w:val="000000"/>
                      <w:highlight w:val="none"/>
                      <w:lang w:val="en-US" w:eastAsia="zh-CN"/>
                    </w:rPr>
                    <w:t>措施及建议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restart"/>
                  <w:tcBorders>
                    <w:top w:val="single" w:color="000000" w:sz="4" w:space="0"/>
                    <w:left w:val="single" w:color="000000" w:sz="4" w:space="0"/>
                    <w:right w:val="single" w:color="000000" w:sz="4" w:space="0"/>
                  </w:tcBorders>
                  <w:noWrap w:val="0"/>
                  <w:vAlign w:val="center"/>
                </w:tcPr>
                <w:p>
                  <w:pPr>
                    <w:pStyle w:val="31"/>
                    <w:spacing w:line="240" w:lineRule="auto"/>
                    <w:rPr>
                      <w:rFonts w:hint="default" w:ascii="Times New Roman" w:hAnsi="Times New Roman" w:eastAsia="仿宋_GB2312" w:cs="Times New Roman"/>
                      <w:b w:val="0"/>
                      <w:bCs/>
                      <w:color w:val="000000"/>
                      <w:highlight w:val="none"/>
                      <w:lang w:val="en-US" w:eastAsia="zh-CN"/>
                    </w:rPr>
                  </w:pPr>
                  <w:r>
                    <w:rPr>
                      <w:rFonts w:hint="eastAsia" w:ascii="Times New Roman" w:hAnsi="Times New Roman" w:eastAsia="仿宋_GB2312" w:cs="Times New Roman"/>
                      <w:b w:val="0"/>
                      <w:bCs/>
                      <w:color w:val="000000"/>
                      <w:highlight w:val="none"/>
                      <w:lang w:val="en-US" w:eastAsia="zh-CN"/>
                    </w:rPr>
                    <w:t>防尘毒措施建议</w:t>
                  </w:r>
                </w:p>
              </w:tc>
              <w:tc>
                <w:tcPr>
                  <w:tcW w:w="417" w:type="pct"/>
                  <w:vMerge w:val="restart"/>
                  <w:tcBorders>
                    <w:top w:val="single" w:color="000000" w:sz="4" w:space="0"/>
                    <w:left w:val="single" w:color="000000" w:sz="4" w:space="0"/>
                    <w:right w:val="single" w:color="000000" w:sz="4" w:space="0"/>
                  </w:tcBorders>
                  <w:noWrap w:val="0"/>
                  <w:vAlign w:val="center"/>
                </w:tcPr>
                <w:p>
                  <w:pPr>
                    <w:widowControl w:val="0"/>
                    <w:spacing w:line="240" w:lineRule="auto"/>
                    <w:ind w:firstLine="0" w:firstLineChars="0"/>
                    <w:jc w:val="center"/>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焊接车间</w:t>
                  </w:r>
                </w:p>
              </w:tc>
              <w:tc>
                <w:tcPr>
                  <w:tcW w:w="607" w:type="pct"/>
                  <w:tcBorders>
                    <w:top w:val="single" w:color="000000" w:sz="4" w:space="0"/>
                    <w:left w:val="single" w:color="000000" w:sz="4" w:space="0"/>
                    <w:right w:val="single" w:color="000000" w:sz="4" w:space="0"/>
                  </w:tcBorders>
                  <w:noWrap w:val="0"/>
                  <w:vAlign w:val="center"/>
                </w:tcPr>
                <w:p>
                  <w:pPr>
                    <w:widowControl w:val="0"/>
                    <w:spacing w:line="240" w:lineRule="auto"/>
                    <w:ind w:firstLine="0" w:firstLineChars="0"/>
                    <w:jc w:val="center"/>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通风</w:t>
                  </w:r>
                </w:p>
              </w:tc>
              <w:tc>
                <w:tcPr>
                  <w:tcW w:w="3481" w:type="pct"/>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建议该公司逐步增加焊接车间排风扇的数量，增加车间的通风量和换气次数，从而改善焊接车间的通风情况，降低空气中烟尘的浓度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p>
              </w:tc>
              <w:tc>
                <w:tcPr>
                  <w:tcW w:w="417" w:type="pct"/>
                  <w:vMerge w:val="continue"/>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607" w:type="pct"/>
                  <w:vMerge w:val="restart"/>
                  <w:tcBorders>
                    <w:top w:val="single" w:color="000000" w:sz="4" w:space="0"/>
                    <w:left w:val="single" w:color="000000" w:sz="4" w:space="0"/>
                    <w:right w:val="single" w:color="000000" w:sz="4" w:space="0"/>
                  </w:tcBorders>
                  <w:noWrap w:val="0"/>
                  <w:vAlign w:val="center"/>
                </w:tcPr>
                <w:p>
                  <w:pPr>
                    <w:widowControl w:val="0"/>
                    <w:spacing w:line="240" w:lineRule="auto"/>
                    <w:ind w:firstLine="0" w:firstLineChars="0"/>
                    <w:jc w:val="center"/>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职业病防护设施/措施</w:t>
                  </w:r>
                </w:p>
              </w:tc>
              <w:tc>
                <w:tcPr>
                  <w:tcW w:w="3481" w:type="pct"/>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建议该公司尽可能在每个焊接岗位处均设置局部抽排风设施，并保证各焊接点的控制风速不低于1m/s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p>
              </w:tc>
              <w:tc>
                <w:tcPr>
                  <w:tcW w:w="417" w:type="pct"/>
                  <w:vMerge w:val="continue"/>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607" w:type="pct"/>
                  <w:vMerge w:val="continue"/>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3481" w:type="pct"/>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建议该公司在不易设置固定式局部抽排风设施的焊接点，应设置移动式电焊烟尘净化器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p>
              </w:tc>
              <w:tc>
                <w:tcPr>
                  <w:tcW w:w="417" w:type="pct"/>
                  <w:vMerge w:val="continue"/>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607" w:type="pct"/>
                  <w:vMerge w:val="continue"/>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3481" w:type="pct"/>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作业时，局部抽排风设施罩口应尽量靠近焊接点，并加设围挡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p>
              </w:tc>
              <w:tc>
                <w:tcPr>
                  <w:tcW w:w="417" w:type="pct"/>
                  <w:vMerge w:val="continue"/>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607" w:type="pct"/>
                  <w:vMerge w:val="continue"/>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3481" w:type="pct"/>
                  <w:tcBorders>
                    <w:top w:val="single" w:color="000000" w:sz="4" w:space="0"/>
                    <w:left w:val="single" w:color="000000" w:sz="4" w:space="0"/>
                    <w:bottom w:val="single" w:color="000000" w:sz="4" w:space="0"/>
                    <w:right w:val="single" w:color="000000" w:sz="4" w:space="0"/>
                  </w:tcBorders>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作业时，局部抽排风设施罩口应迎着有毒有害物质气流的方向，有毒有害物质被吸入罩口的过程不应通过操作者的呼吸带，可以改用侧吸罩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p>
              </w:tc>
              <w:tc>
                <w:tcPr>
                  <w:tcW w:w="417" w:type="pct"/>
                  <w:vMerge w:val="restart"/>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喷漆车间</w:t>
                  </w:r>
                </w:p>
              </w:tc>
              <w:tc>
                <w:tcPr>
                  <w:tcW w:w="607" w:type="pct"/>
                  <w:vMerge w:val="restart"/>
                  <w:tcBorders>
                    <w:left w:val="single" w:color="000000" w:sz="4" w:space="0"/>
                    <w:right w:val="single" w:color="000000" w:sz="4" w:space="0"/>
                  </w:tcBorders>
                  <w:noWrap w:val="0"/>
                  <w:vAlign w:val="center"/>
                </w:tcPr>
                <w:p>
                  <w:pPr>
                    <w:widowControl w:val="0"/>
                    <w:spacing w:line="240" w:lineRule="auto"/>
                    <w:ind w:firstLine="0" w:firstLineChars="0"/>
                    <w:jc w:val="center"/>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原辅料管理</w:t>
                  </w:r>
                </w:p>
              </w:tc>
              <w:tc>
                <w:tcPr>
                  <w:tcW w:w="3481" w:type="pct"/>
                  <w:tcBorders>
                    <w:left w:val="single" w:color="000000" w:sz="4" w:space="0"/>
                    <w:right w:val="single" w:color="000000" w:sz="4" w:space="0"/>
                  </w:tcBorders>
                  <w:noWrap w:val="0"/>
                  <w:vAlign w:val="center"/>
                </w:tcPr>
                <w:p>
                  <w:pPr>
                    <w:widowControl w:val="0"/>
                    <w:spacing w:line="240" w:lineRule="auto"/>
                    <w:ind w:left="0" w:leftChars="0" w:firstLine="0" w:firstLineChars="0"/>
                    <w:jc w:val="left"/>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w:t>
                  </w:r>
                  <w:r>
                    <w:rPr>
                      <w:rFonts w:hint="default" w:ascii="Times New Roman" w:hAnsi="Times New Roman" w:eastAsia="仿宋_GB2312" w:cs="Times New Roman"/>
                      <w:b w:val="0"/>
                      <w:bCs/>
                      <w:color w:val="000000"/>
                      <w:kern w:val="0"/>
                      <w:sz w:val="21"/>
                      <w:szCs w:val="21"/>
                      <w:highlight w:val="none"/>
                      <w:lang w:val="en-US" w:eastAsia="zh-CN" w:bidi="ar-SA"/>
                    </w:rPr>
                    <w:t>加强原辅材料的选购管理，选购无毒或低毒（不含苯、正己烷、1,2-二氯乙烷、三氯乙烯）的溶剂物料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p>
              </w:tc>
              <w:tc>
                <w:tcPr>
                  <w:tcW w:w="417" w:type="pct"/>
                  <w:vMerge w:val="continue"/>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607" w:type="pct"/>
                  <w:vMerge w:val="continue"/>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3481" w:type="pct"/>
                  <w:tcBorders>
                    <w:left w:val="single" w:color="000000" w:sz="4" w:space="0"/>
                    <w:right w:val="single" w:color="000000" w:sz="4" w:space="0"/>
                  </w:tcBorders>
                  <w:noWrap w:val="0"/>
                  <w:vAlign w:val="center"/>
                </w:tcPr>
                <w:p>
                  <w:pPr>
                    <w:widowControl w:val="0"/>
                    <w:spacing w:line="240" w:lineRule="auto"/>
                    <w:ind w:left="0" w:leftChars="0" w:firstLine="0" w:firstLineChars="0"/>
                    <w:jc w:val="left"/>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建议该公司在非必要情况下，尽量选用水性漆进行喷漆作业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p>
              </w:tc>
              <w:tc>
                <w:tcPr>
                  <w:tcW w:w="417" w:type="pct"/>
                  <w:vMerge w:val="continue"/>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607" w:type="pct"/>
                  <w:vMerge w:val="restart"/>
                  <w:tcBorders>
                    <w:left w:val="single" w:color="000000" w:sz="4" w:space="0"/>
                    <w:right w:val="single" w:color="000000" w:sz="4" w:space="0"/>
                  </w:tcBorders>
                  <w:noWrap w:val="0"/>
                  <w:vAlign w:val="center"/>
                </w:tcPr>
                <w:p>
                  <w:pPr>
                    <w:widowControl w:val="0"/>
                    <w:spacing w:line="240" w:lineRule="auto"/>
                    <w:ind w:firstLine="0" w:firstLineChars="0"/>
                    <w:jc w:val="center"/>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职业病防护设施/措施</w:t>
                  </w:r>
                </w:p>
              </w:tc>
              <w:tc>
                <w:tcPr>
                  <w:tcW w:w="3481" w:type="pct"/>
                  <w:tcBorders>
                    <w:left w:val="single" w:color="000000" w:sz="4" w:space="0"/>
                    <w:right w:val="single" w:color="000000" w:sz="4" w:space="0"/>
                  </w:tcBorders>
                  <w:noWrap w:val="0"/>
                  <w:vAlign w:val="center"/>
                </w:tcPr>
                <w:p>
                  <w:pPr>
                    <w:widowControl w:val="0"/>
                    <w:spacing w:line="240" w:lineRule="auto"/>
                    <w:ind w:left="0" w:leftChars="0" w:firstLine="0" w:firstLineChars="0"/>
                    <w:jc w:val="left"/>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建议该公司加强调漆间油漆储存缸的密闭，减少油漆的暴露面积，从而减少生产性毒物的挥发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p>
              </w:tc>
              <w:tc>
                <w:tcPr>
                  <w:tcW w:w="417" w:type="pct"/>
                  <w:tcBorders>
                    <w:left w:val="single" w:color="000000" w:sz="4" w:space="0"/>
                    <w:right w:val="single" w:color="000000" w:sz="4" w:space="0"/>
                  </w:tcBorders>
                  <w:noWrap w:val="0"/>
                  <w:vAlign w:val="center"/>
                </w:tcPr>
                <w:p>
                  <w:pPr>
                    <w:widowControl w:val="0"/>
                    <w:spacing w:line="240" w:lineRule="auto"/>
                    <w:ind w:firstLine="0" w:firstLineChars="0"/>
                    <w:jc w:val="center"/>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喷砂车间</w:t>
                  </w:r>
                </w:p>
              </w:tc>
              <w:tc>
                <w:tcPr>
                  <w:tcW w:w="607" w:type="pct"/>
                  <w:vMerge w:val="continue"/>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3481" w:type="pct"/>
                  <w:tcBorders>
                    <w:left w:val="single" w:color="000000" w:sz="4" w:space="0"/>
                    <w:right w:val="single" w:color="000000" w:sz="4" w:space="0"/>
                  </w:tcBorders>
                  <w:noWrap w:val="0"/>
                  <w:vAlign w:val="center"/>
                </w:tcPr>
                <w:p>
                  <w:pPr>
                    <w:widowControl w:val="0"/>
                    <w:spacing w:line="240" w:lineRule="auto"/>
                    <w:ind w:left="0" w:leftChars="0" w:firstLine="0" w:firstLineChars="0"/>
                    <w:jc w:val="left"/>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建议该公司加强职业病防护设施的维护管理，保证各集尘设施、废气处理设施的风机、管道等均能够正常运行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p>
              </w:tc>
              <w:tc>
                <w:tcPr>
                  <w:tcW w:w="417" w:type="pct"/>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完工车间</w:t>
                  </w:r>
                </w:p>
              </w:tc>
              <w:tc>
                <w:tcPr>
                  <w:tcW w:w="607" w:type="pct"/>
                  <w:tcBorders>
                    <w:left w:val="single" w:color="000000" w:sz="4" w:space="0"/>
                    <w:right w:val="single" w:color="000000" w:sz="4" w:space="0"/>
                  </w:tcBorders>
                  <w:noWrap w:val="0"/>
                  <w:vAlign w:val="center"/>
                </w:tcPr>
                <w:p>
                  <w:pPr>
                    <w:widowControl w:val="0"/>
                    <w:spacing w:line="240" w:lineRule="auto"/>
                    <w:ind w:left="0" w:leftChars="0"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原辅料管理</w:t>
                  </w:r>
                </w:p>
              </w:tc>
              <w:tc>
                <w:tcPr>
                  <w:tcW w:w="3481" w:type="pct"/>
                  <w:tcBorders>
                    <w:left w:val="single" w:color="000000" w:sz="4" w:space="0"/>
                    <w:right w:val="single" w:color="000000" w:sz="4" w:space="0"/>
                  </w:tcBorders>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w:t>
                  </w:r>
                  <w:r>
                    <w:rPr>
                      <w:rFonts w:hint="default" w:ascii="Times New Roman" w:hAnsi="Times New Roman" w:eastAsia="仿宋_GB2312" w:cs="Times New Roman"/>
                      <w:b w:val="0"/>
                      <w:bCs/>
                      <w:color w:val="000000"/>
                      <w:kern w:val="0"/>
                      <w:sz w:val="21"/>
                      <w:szCs w:val="21"/>
                      <w:highlight w:val="none"/>
                      <w:lang w:val="en-US" w:eastAsia="zh-CN" w:bidi="ar-SA"/>
                    </w:rPr>
                    <w:t>加强原辅材料的选购管理，选购无毒</w:t>
                  </w:r>
                  <w:r>
                    <w:rPr>
                      <w:rFonts w:hint="eastAsia" w:ascii="Times New Roman" w:hAnsi="Times New Roman" w:eastAsia="仿宋_GB2312" w:cs="Times New Roman"/>
                      <w:b w:val="0"/>
                      <w:bCs/>
                      <w:color w:val="000000"/>
                      <w:kern w:val="0"/>
                      <w:sz w:val="21"/>
                      <w:szCs w:val="21"/>
                      <w:highlight w:val="none"/>
                      <w:lang w:val="en-US" w:eastAsia="zh-CN" w:bidi="ar-SA"/>
                    </w:rPr>
                    <w:t>（不挥挥发产生甲醇等）</w:t>
                  </w:r>
                  <w:r>
                    <w:rPr>
                      <w:rFonts w:hint="default" w:ascii="Times New Roman" w:hAnsi="Times New Roman" w:eastAsia="仿宋_GB2312" w:cs="Times New Roman"/>
                      <w:b w:val="0"/>
                      <w:bCs/>
                      <w:color w:val="000000"/>
                      <w:kern w:val="0"/>
                      <w:sz w:val="21"/>
                      <w:szCs w:val="21"/>
                      <w:highlight w:val="none"/>
                      <w:lang w:val="en-US" w:eastAsia="zh-CN" w:bidi="ar-SA"/>
                    </w:rPr>
                    <w:t>的</w:t>
                  </w:r>
                  <w:r>
                    <w:rPr>
                      <w:rFonts w:hint="eastAsia" w:ascii="Times New Roman" w:hAnsi="Times New Roman" w:eastAsia="仿宋_GB2312" w:cs="Times New Roman"/>
                      <w:b w:val="0"/>
                      <w:bCs/>
                      <w:color w:val="000000"/>
                      <w:kern w:val="0"/>
                      <w:sz w:val="21"/>
                      <w:szCs w:val="21"/>
                      <w:highlight w:val="none"/>
                      <w:lang w:val="en-US" w:eastAsia="zh-CN" w:bidi="ar-SA"/>
                    </w:rPr>
                    <w:t>密封胶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restart"/>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防噪声措施建议</w:t>
                  </w:r>
                </w:p>
              </w:tc>
              <w:tc>
                <w:tcPr>
                  <w:tcW w:w="1025" w:type="pct"/>
                  <w:gridSpan w:val="2"/>
                  <w:tcBorders>
                    <w:left w:val="single" w:color="000000" w:sz="4" w:space="0"/>
                    <w:right w:val="single" w:color="000000" w:sz="4" w:space="0"/>
                  </w:tcBorders>
                  <w:noWrap w:val="0"/>
                  <w:vAlign w:val="center"/>
                </w:tcPr>
                <w:p>
                  <w:pPr>
                    <w:widowControl w:val="0"/>
                    <w:spacing w:line="240" w:lineRule="auto"/>
                    <w:ind w:left="0" w:leftChars="0" w:firstLine="0" w:firstLineChars="0"/>
                    <w:jc w:val="center"/>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焊接车间</w:t>
                  </w:r>
                </w:p>
              </w:tc>
              <w:tc>
                <w:tcPr>
                  <w:tcW w:w="3481" w:type="pct"/>
                  <w:vMerge w:val="restart"/>
                  <w:tcBorders>
                    <w:left w:val="single" w:color="000000" w:sz="4" w:space="0"/>
                    <w:right w:val="single" w:color="000000" w:sz="4" w:space="0"/>
                  </w:tcBorders>
                  <w:noWrap w:val="0"/>
                  <w:vAlign w:val="center"/>
                </w:tcPr>
                <w:p>
                  <w:pPr>
                    <w:widowControl w:val="0"/>
                    <w:spacing w:line="240" w:lineRule="auto"/>
                    <w:ind w:left="0" w:leftChars="0" w:firstLine="0" w:firstLineChars="0"/>
                    <w:jc w:val="left"/>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建议该公司在不影响生产的情况下，选用低噪声的焊接、喷漆、吹尘、钻孔、打螺钉、锁螺杆设备；减少作业岗位的密闭，从而减少噪声的叠加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1025" w:type="pct"/>
                  <w:gridSpan w:val="2"/>
                  <w:tcBorders>
                    <w:left w:val="single" w:color="000000" w:sz="4" w:space="0"/>
                    <w:right w:val="single" w:color="000000" w:sz="4" w:space="0"/>
                  </w:tcBorders>
                  <w:noWrap w:val="0"/>
                  <w:vAlign w:val="center"/>
                </w:tcPr>
                <w:p>
                  <w:pPr>
                    <w:widowControl w:val="0"/>
                    <w:spacing w:line="240" w:lineRule="auto"/>
                    <w:ind w:left="0" w:leftChars="0"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喷漆车间</w:t>
                  </w:r>
                </w:p>
              </w:tc>
              <w:tc>
                <w:tcPr>
                  <w:tcW w:w="3481" w:type="pct"/>
                  <w:vMerge w:val="continue"/>
                  <w:tcBorders>
                    <w:left w:val="single" w:color="000000" w:sz="4" w:space="0"/>
                    <w:right w:val="single" w:color="000000" w:sz="4" w:space="0"/>
                  </w:tcBorders>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p>
              </w:tc>
              <w:tc>
                <w:tcPr>
                  <w:tcW w:w="1025" w:type="pct"/>
                  <w:gridSpan w:val="2"/>
                  <w:tcBorders>
                    <w:left w:val="single" w:color="000000" w:sz="4" w:space="0"/>
                    <w:right w:val="single" w:color="000000" w:sz="4" w:space="0"/>
                  </w:tcBorders>
                  <w:noWrap w:val="0"/>
                  <w:vAlign w:val="center"/>
                </w:tcPr>
                <w:p>
                  <w:pPr>
                    <w:widowControl w:val="0"/>
                    <w:spacing w:line="240" w:lineRule="auto"/>
                    <w:ind w:left="0" w:leftChars="0"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完工车间</w:t>
                  </w:r>
                </w:p>
              </w:tc>
              <w:tc>
                <w:tcPr>
                  <w:tcW w:w="3481" w:type="pct"/>
                  <w:vMerge w:val="continue"/>
                  <w:tcBorders>
                    <w:left w:val="single" w:color="000000" w:sz="4" w:space="0"/>
                    <w:right w:val="single" w:color="000000" w:sz="4" w:space="0"/>
                  </w:tcBorders>
                  <w:noWrap w:val="0"/>
                  <w:vAlign w:val="center"/>
                </w:tcPr>
                <w:p>
                  <w:pPr>
                    <w:widowControl w:val="0"/>
                    <w:spacing w:line="240" w:lineRule="auto"/>
                    <w:ind w:left="0" w:leftChars="0" w:firstLine="0" w:firstLineChars="0"/>
                    <w:jc w:val="left"/>
                    <w:rPr>
                      <w:rFonts w:hint="default" w:ascii="Times New Roman" w:hAnsi="Times New Roman" w:eastAsia="仿宋_GB2312" w:cs="Times New Roman"/>
                      <w:b w:val="0"/>
                      <w:bCs/>
                      <w:color w:val="0000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rPr>
                      <w:rFonts w:hint="eastAsia" w:ascii="Times New Roman" w:hAnsi="Times New Roman" w:eastAsia="仿宋_GB2312" w:cs="Times New Roman"/>
                      <w:b w:val="0"/>
                      <w:bCs/>
                      <w:color w:val="000000"/>
                      <w:highlight w:val="none"/>
                      <w:lang w:val="en-US" w:eastAsia="zh-CN"/>
                    </w:rPr>
                  </w:pPr>
                </w:p>
              </w:tc>
              <w:tc>
                <w:tcPr>
                  <w:tcW w:w="1025" w:type="pct"/>
                  <w:gridSpan w:val="2"/>
                  <w:tcBorders>
                    <w:left w:val="single" w:color="000000" w:sz="4" w:space="0"/>
                    <w:right w:val="single" w:color="000000" w:sz="4" w:space="0"/>
                  </w:tcBorders>
                  <w:noWrap w:val="0"/>
                  <w:vAlign w:val="center"/>
                </w:tcPr>
                <w:p>
                  <w:pPr>
                    <w:widowControl w:val="0"/>
                    <w:spacing w:line="240" w:lineRule="auto"/>
                    <w:ind w:left="0" w:leftChars="0"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个人防护用品</w:t>
                  </w:r>
                </w:p>
              </w:tc>
              <w:tc>
                <w:tcPr>
                  <w:tcW w:w="3481" w:type="pct"/>
                  <w:tcBorders>
                    <w:left w:val="single" w:color="000000" w:sz="4" w:space="0"/>
                    <w:right w:val="single" w:color="000000" w:sz="4" w:space="0"/>
                  </w:tcBorders>
                  <w:noWrap w:val="0"/>
                  <w:vAlign w:val="center"/>
                </w:tcPr>
                <w:p>
                  <w:pPr>
                    <w:widowControl w:val="0"/>
                    <w:spacing w:line="240" w:lineRule="auto"/>
                    <w:ind w:left="0" w:leftChars="0" w:firstLine="0" w:firstLineChars="0"/>
                    <w:jc w:val="left"/>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建议该公司为可以接触定点噪声超过95dB（A）场所的作业人员，配备防护耳罩，供其在进入或进行定点噪声超过95dB（A）的场所或作业时使用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1518" w:type="pct"/>
                  <w:gridSpan w:val="3"/>
                  <w:tcBorders>
                    <w:left w:val="single" w:color="000000" w:sz="4" w:space="0"/>
                    <w:right w:val="single" w:color="000000" w:sz="4" w:space="0"/>
                  </w:tcBorders>
                  <w:noWrap w:val="0"/>
                  <w:vAlign w:val="center"/>
                </w:tcPr>
                <w:p>
                  <w:pPr>
                    <w:pStyle w:val="31"/>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工艺措施建议</w:t>
                  </w:r>
                </w:p>
              </w:tc>
              <w:tc>
                <w:tcPr>
                  <w:tcW w:w="3481" w:type="pct"/>
                  <w:tcBorders>
                    <w:left w:val="single" w:color="000000" w:sz="4" w:space="0"/>
                    <w:right w:val="single" w:color="000000" w:sz="4" w:space="0"/>
                  </w:tcBorders>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建议该公司在不影响生产的情况下，逐步试用、选用自动化程度高的焊接、打砂、喷漆工艺，减少人工操作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restart"/>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管理措施建议</w:t>
                  </w:r>
                </w:p>
              </w:tc>
              <w:tc>
                <w:tcPr>
                  <w:tcW w:w="1025" w:type="pct"/>
                  <w:gridSpan w:val="2"/>
                  <w:vMerge w:val="restart"/>
                  <w:tcBorders>
                    <w:left w:val="single" w:color="000000" w:sz="4" w:space="0"/>
                    <w:right w:val="single" w:color="000000" w:sz="4" w:space="0"/>
                  </w:tcBorders>
                  <w:noWrap w:val="0"/>
                  <w:vAlign w:val="center"/>
                </w:tcPr>
                <w:p>
                  <w:pPr>
                    <w:widowControl w:val="0"/>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听力保护计划实施</w:t>
                  </w:r>
                </w:p>
              </w:tc>
              <w:tc>
                <w:tcPr>
                  <w:tcW w:w="3481" w:type="pct"/>
                  <w:tcBorders>
                    <w:left w:val="single" w:color="000000" w:sz="4" w:space="0"/>
                    <w:right w:val="single" w:color="000000" w:sz="4" w:space="0"/>
                  </w:tcBorders>
                  <w:noWrap w:val="0"/>
                  <w:vAlign w:val="center"/>
                </w:tcPr>
                <w:p>
                  <w:pPr>
                    <w:widowControl w:val="0"/>
                    <w:spacing w:line="240" w:lineRule="auto"/>
                    <w:ind w:left="0" w:leftChars="0" w:firstLine="0" w:firstLineChars="0"/>
                    <w:jc w:val="left"/>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建议该公司按照所制定的听力保护计划，定期组织接触噪声的作业人员进行职业健康检查，对于发生听力下降的员工，应采取听力保护措施，防止听力进一步下降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1025" w:type="pct"/>
                  <w:gridSpan w:val="2"/>
                  <w:vMerge w:val="continue"/>
                  <w:tcBorders>
                    <w:left w:val="single" w:color="000000" w:sz="4" w:space="0"/>
                    <w:right w:val="single" w:color="000000" w:sz="4" w:space="0"/>
                  </w:tcBorders>
                  <w:noWrap w:val="0"/>
                  <w:vAlign w:val="center"/>
                </w:tcPr>
                <w:p>
                  <w:pPr>
                    <w:widowControl w:val="0"/>
                    <w:spacing w:line="240" w:lineRule="auto"/>
                    <w:ind w:left="0" w:leftChars="0"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3481" w:type="pct"/>
                  <w:noWrap w:val="0"/>
                  <w:vAlign w:val="center"/>
                </w:tcPr>
                <w:p>
                  <w:pPr>
                    <w:widowControl w:val="0"/>
                    <w:spacing w:line="240" w:lineRule="auto"/>
                    <w:ind w:left="0" w:leftChars="0" w:firstLine="0" w:firstLineChars="0"/>
                    <w:jc w:val="left"/>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加强培训，保证作业人员均能够正确的使用防噪耳塞，职业卫生管理人员及车间主管在日常管理工作中，加强对车间作业人员使用个人防护用品的监督，保证作业人员均能够按照要求正确的佩戴个人防护用品。对噪声作业场所的噪声强度水平至少每年进行1次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1025" w:type="pct"/>
                  <w:gridSpan w:val="2"/>
                  <w:vMerge w:val="continue"/>
                  <w:tcBorders>
                    <w:left w:val="single" w:color="000000" w:sz="4" w:space="0"/>
                    <w:right w:val="single" w:color="000000" w:sz="4" w:space="0"/>
                  </w:tcBorders>
                  <w:noWrap w:val="0"/>
                  <w:vAlign w:val="center"/>
                </w:tcPr>
                <w:p>
                  <w:pPr>
                    <w:widowControl w:val="0"/>
                    <w:spacing w:line="240" w:lineRule="auto"/>
                    <w:ind w:left="0" w:leftChars="0"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3481" w:type="pct"/>
                  <w:noWrap w:val="0"/>
                  <w:vAlign w:val="center"/>
                </w:tcPr>
                <w:p>
                  <w:pPr>
                    <w:widowControl w:val="0"/>
                    <w:spacing w:line="240" w:lineRule="auto"/>
                    <w:ind w:left="0" w:leftChars="0" w:firstLine="0" w:firstLineChars="0"/>
                    <w:jc w:val="left"/>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建议该公司针对首次在L</w:t>
                  </w:r>
                  <w:r>
                    <w:rPr>
                      <w:rFonts w:hint="eastAsia" w:ascii="Times New Roman" w:hAnsi="Times New Roman" w:eastAsia="仿宋_GB2312" w:cs="Times New Roman"/>
                      <w:b w:val="0"/>
                      <w:bCs/>
                      <w:color w:val="000000"/>
                      <w:kern w:val="0"/>
                      <w:sz w:val="21"/>
                      <w:szCs w:val="21"/>
                      <w:highlight w:val="none"/>
                      <w:vertAlign w:val="subscript"/>
                      <w:lang w:val="en-US" w:eastAsia="zh-CN" w:bidi="ar-SA"/>
                    </w:rPr>
                    <w:t>Aeq，8</w:t>
                  </w:r>
                  <w:r>
                    <w:rPr>
                      <w:rFonts w:hint="eastAsia" w:ascii="Times New Roman" w:hAnsi="Times New Roman" w:eastAsia="仿宋_GB2312" w:cs="Times New Roman"/>
                      <w:b w:val="0"/>
                      <w:bCs/>
                      <w:color w:val="000000"/>
                      <w:kern w:val="0"/>
                      <w:sz w:val="21"/>
                      <w:szCs w:val="21"/>
                      <w:highlight w:val="none"/>
                      <w:lang w:val="en-US" w:eastAsia="zh-CN" w:bidi="ar-SA"/>
                    </w:rPr>
                    <w:t>≥85dB（A）场所中作业的员工，应当在3个月内接受听力测试；暴露于85dB（A）≤L</w:t>
                  </w:r>
                  <w:r>
                    <w:rPr>
                      <w:rFonts w:hint="eastAsia" w:ascii="Times New Roman" w:hAnsi="Times New Roman" w:eastAsia="仿宋_GB2312" w:cs="Times New Roman"/>
                      <w:b w:val="0"/>
                      <w:bCs/>
                      <w:color w:val="000000"/>
                      <w:kern w:val="0"/>
                      <w:sz w:val="21"/>
                      <w:szCs w:val="21"/>
                      <w:highlight w:val="none"/>
                      <w:vertAlign w:val="subscript"/>
                      <w:lang w:val="en-US" w:eastAsia="zh-CN" w:bidi="ar-SA"/>
                    </w:rPr>
                    <w:t>Aeq，8</w:t>
                  </w:r>
                  <w:r>
                    <w:rPr>
                      <w:rFonts w:hint="eastAsia" w:ascii="Times New Roman" w:hAnsi="Times New Roman" w:eastAsia="仿宋_GB2312" w:cs="Times New Roman"/>
                      <w:b w:val="0"/>
                      <w:bCs/>
                      <w:color w:val="000000"/>
                      <w:kern w:val="0"/>
                      <w:sz w:val="21"/>
                      <w:szCs w:val="21"/>
                      <w:highlight w:val="none"/>
                      <w:lang w:val="en-US" w:eastAsia="zh-CN" w:bidi="ar-SA"/>
                    </w:rPr>
                    <w:t>&lt;100dB（A）噪声作业场所的员工，应当每两年进行一次跟踪听力测定；暴露于L</w:t>
                  </w:r>
                  <w:r>
                    <w:rPr>
                      <w:rFonts w:hint="eastAsia" w:ascii="Times New Roman" w:hAnsi="Times New Roman" w:eastAsia="仿宋_GB2312" w:cs="Times New Roman"/>
                      <w:b w:val="0"/>
                      <w:bCs/>
                      <w:color w:val="000000"/>
                      <w:kern w:val="0"/>
                      <w:sz w:val="21"/>
                      <w:szCs w:val="21"/>
                      <w:highlight w:val="none"/>
                      <w:vertAlign w:val="subscript"/>
                      <w:lang w:val="en-US" w:eastAsia="zh-CN" w:bidi="ar-SA"/>
                    </w:rPr>
                    <w:t>Aeq，8</w:t>
                  </w:r>
                  <w:r>
                    <w:rPr>
                      <w:rFonts w:hint="eastAsia" w:ascii="Times New Roman" w:hAnsi="Times New Roman" w:eastAsia="仿宋_GB2312" w:cs="Times New Roman"/>
                      <w:b w:val="0"/>
                      <w:bCs/>
                      <w:color w:val="000000"/>
                      <w:kern w:val="0"/>
                      <w:sz w:val="21"/>
                      <w:szCs w:val="21"/>
                      <w:highlight w:val="none"/>
                      <w:lang w:val="en-US" w:eastAsia="zh-CN" w:bidi="ar-SA"/>
                    </w:rPr>
                    <w:t>≥100dB的员工，应当每年进行一次跟踪听力测定。对于已发生高频标准听阈偏移的职工，应当在14d内以书面形式将测试结果通知本人，并采取相应听力保护措施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1025" w:type="pct"/>
                  <w:gridSpan w:val="2"/>
                  <w:tcBorders>
                    <w:left w:val="single" w:color="000000" w:sz="4" w:space="0"/>
                    <w:right w:val="single" w:color="000000" w:sz="4" w:space="0"/>
                  </w:tcBorders>
                  <w:noWrap w:val="0"/>
                  <w:vAlign w:val="center"/>
                </w:tcPr>
                <w:p>
                  <w:pPr>
                    <w:pStyle w:val="31"/>
                    <w:spacing w:line="240" w:lineRule="auto"/>
                    <w:ind w:firstLine="0" w:firstLineChars="0"/>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职业病防护设施检维修</w:t>
                  </w:r>
                </w:p>
              </w:tc>
              <w:tc>
                <w:tcPr>
                  <w:tcW w:w="3481" w:type="pct"/>
                  <w:noWrap w:val="0"/>
                  <w:vAlign w:val="center"/>
                </w:tcPr>
                <w:p>
                  <w:pPr>
                    <w:pStyle w:val="31"/>
                    <w:spacing w:line="240" w:lineRule="auto"/>
                    <w:ind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建议该公司加强设备的日常巡检与维护，保证各集尘设施、废气处理设施的风机、管道、罩口等均能够正常运行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1025" w:type="pct"/>
                  <w:gridSpan w:val="2"/>
                  <w:vMerge w:val="restart"/>
                  <w:tcBorders>
                    <w:left w:val="single" w:color="000000" w:sz="4" w:space="0"/>
                    <w:right w:val="single" w:color="000000" w:sz="4" w:space="0"/>
                  </w:tcBorders>
                  <w:noWrap w:val="0"/>
                  <w:vAlign w:val="center"/>
                </w:tcPr>
                <w:p>
                  <w:pPr>
                    <w:pStyle w:val="31"/>
                    <w:spacing w:line="240" w:lineRule="auto"/>
                    <w:ind w:firstLine="0" w:firstLineChars="0"/>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个人防护佩戴管理</w:t>
                  </w:r>
                </w:p>
              </w:tc>
              <w:tc>
                <w:tcPr>
                  <w:tcW w:w="3481" w:type="pct"/>
                  <w:noWrap w:val="0"/>
                  <w:vAlign w:val="center"/>
                </w:tcPr>
                <w:p>
                  <w:pPr>
                    <w:pStyle w:val="31"/>
                    <w:spacing w:line="240" w:lineRule="auto"/>
                    <w:ind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加强培训，提高作业人员正确佩戴使用个人防护用品的意识；职业卫生管理人员及车间主管在日常管理工作中，应加强对车间作业人员使用个人防护用品的监督，保证作业人员均能够按照要求正确的佩戴个人防护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1025" w:type="pct"/>
                  <w:gridSpan w:val="2"/>
                  <w:vMerge w:val="continue"/>
                  <w:tcBorders>
                    <w:left w:val="single" w:color="000000" w:sz="4" w:space="0"/>
                    <w:right w:val="single" w:color="000000" w:sz="4" w:space="0"/>
                  </w:tcBorders>
                  <w:noWrap w:val="0"/>
                  <w:vAlign w:val="center"/>
                </w:tcPr>
                <w:p>
                  <w:pPr>
                    <w:widowControl w:val="0"/>
                    <w:spacing w:line="240" w:lineRule="auto"/>
                    <w:ind w:left="0" w:leftChars="0"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3481" w:type="pct"/>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建议该公司在后续有使用油性漆进行喷漆作业时，应按照要求正确佩戴所配发的防护半面罩，作业人员在正确佩戴该防护半面罩后，可将空气中相应的毒物浓度降低10倍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1025" w:type="pct"/>
                  <w:gridSpan w:val="2"/>
                  <w:vMerge w:val="restart"/>
                  <w:tcBorders>
                    <w:left w:val="single" w:color="000000" w:sz="4" w:space="0"/>
                    <w:right w:val="single" w:color="000000" w:sz="4" w:space="0"/>
                  </w:tcBorders>
                  <w:noWrap w:val="0"/>
                  <w:vAlign w:val="center"/>
                </w:tcPr>
                <w:p>
                  <w:pPr>
                    <w:pStyle w:val="31"/>
                    <w:spacing w:line="240" w:lineRule="auto"/>
                    <w:ind w:firstLine="0" w:firstLineChars="0"/>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职业卫生培训</w:t>
                  </w:r>
                </w:p>
              </w:tc>
              <w:tc>
                <w:tcPr>
                  <w:tcW w:w="3481" w:type="pct"/>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每年加强对噪声接触人员的听力保护培训。听力保护培训应当包括以下内容：①噪声对健康的危害；②听力测试的目的和程序；③本企业噪声实际情况及噪声危害控制的一般方法；④使用护耳器的目的，各类型护耳器的优缺点、声衰减值和如何选用、佩戴、保管和更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1025" w:type="pct"/>
                  <w:gridSpan w:val="2"/>
                  <w:vMerge w:val="continue"/>
                  <w:tcBorders>
                    <w:left w:val="single" w:color="000000" w:sz="4" w:space="0"/>
                    <w:right w:val="single" w:color="000000" w:sz="4" w:space="0"/>
                  </w:tcBorders>
                  <w:noWrap w:val="0"/>
                  <w:vAlign w:val="center"/>
                </w:tcPr>
                <w:p>
                  <w:pPr>
                    <w:pStyle w:val="31"/>
                    <w:spacing w:line="240" w:lineRule="auto"/>
                    <w:ind w:firstLine="0" w:firstLineChars="0"/>
                    <w:rPr>
                      <w:rFonts w:hint="eastAsia" w:ascii="Times New Roman" w:hAnsi="Times New Roman" w:eastAsia="仿宋_GB2312" w:cs="Times New Roman"/>
                      <w:b w:val="0"/>
                      <w:bCs/>
                      <w:color w:val="000000"/>
                      <w:kern w:val="0"/>
                      <w:sz w:val="21"/>
                      <w:szCs w:val="21"/>
                      <w:highlight w:val="none"/>
                      <w:lang w:val="en-US" w:eastAsia="zh-CN" w:bidi="ar-SA"/>
                    </w:rPr>
                  </w:pPr>
                </w:p>
              </w:tc>
              <w:tc>
                <w:tcPr>
                  <w:tcW w:w="3481" w:type="pct"/>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建议该公司按照《国卫办关于进一步加强用人单位职业健康培训工作的通知》（国卫办职健函〔2022〕441号）的要求，对接触职业病危害因素的作业人员进行培训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1025" w:type="pct"/>
                  <w:gridSpan w:val="2"/>
                  <w:tcBorders>
                    <w:left w:val="single" w:color="000000" w:sz="4" w:space="0"/>
                    <w:right w:val="single" w:color="000000" w:sz="4" w:space="0"/>
                  </w:tcBorders>
                  <w:noWrap w:val="0"/>
                  <w:vAlign w:val="center"/>
                </w:tcPr>
                <w:p>
                  <w:pPr>
                    <w:pStyle w:val="31"/>
                    <w:spacing w:line="240" w:lineRule="auto"/>
                    <w:ind w:firstLine="0" w:firstLineChars="0"/>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职业卫生警示标识</w:t>
                  </w:r>
                </w:p>
              </w:tc>
              <w:tc>
                <w:tcPr>
                  <w:tcW w:w="3481" w:type="pct"/>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建议该公司根据《工作场所职业病危害警示标识》（GBZ 158-2003）、《用人单位职业病危害告知与警示标识管理规范》（原安监总厅安健〔2014〕111号）的要求，并参照表3.2-2完善各场所职业卫生警示标识及告知卡的设置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493" w:type="pct"/>
                  <w:vMerge w:val="continue"/>
                  <w:tcBorders>
                    <w:left w:val="single" w:color="000000" w:sz="4" w:space="0"/>
                    <w:right w:val="single" w:color="000000" w:sz="4" w:space="0"/>
                  </w:tcBorders>
                  <w:noWrap w:val="0"/>
                  <w:vAlign w:val="center"/>
                </w:tcPr>
                <w:p>
                  <w:pPr>
                    <w:pStyle w:val="31"/>
                    <w:spacing w:line="240" w:lineRule="auto"/>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1025" w:type="pct"/>
                  <w:gridSpan w:val="2"/>
                  <w:tcBorders>
                    <w:left w:val="single" w:color="000000" w:sz="4" w:space="0"/>
                    <w:right w:val="single" w:color="000000" w:sz="4" w:space="0"/>
                  </w:tcBorders>
                  <w:noWrap w:val="0"/>
                  <w:vAlign w:val="center"/>
                </w:tcPr>
                <w:p>
                  <w:pPr>
                    <w:pStyle w:val="31"/>
                    <w:spacing w:line="240" w:lineRule="auto"/>
                    <w:ind w:firstLine="0" w:firstLineChars="0"/>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职业病危害项目申报</w:t>
                  </w:r>
                </w:p>
              </w:tc>
              <w:tc>
                <w:tcPr>
                  <w:tcW w:w="3481" w:type="pct"/>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建议该公司在本项目完成后，尽快完成职业病危害项目申报更新工作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1518" w:type="pct"/>
                  <w:gridSpan w:val="3"/>
                  <w:vMerge w:val="restart"/>
                  <w:tcBorders>
                    <w:left w:val="single" w:color="000000" w:sz="4" w:space="0"/>
                    <w:right w:val="single" w:color="000000" w:sz="4" w:space="0"/>
                  </w:tcBorders>
                  <w:noWrap w:val="0"/>
                  <w:vAlign w:val="center"/>
                </w:tcPr>
                <w:p>
                  <w:pPr>
                    <w:pStyle w:val="31"/>
                    <w:spacing w:line="240" w:lineRule="auto"/>
                    <w:ind w:firstLine="0" w:firstLineChars="0"/>
                    <w:jc w:val="center"/>
                    <w:rPr>
                      <w:rFonts w:hint="default"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职业健康监护建议</w:t>
                  </w:r>
                </w:p>
              </w:tc>
              <w:tc>
                <w:tcPr>
                  <w:tcW w:w="3481" w:type="pct"/>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按照《用人单位职业健康监护监督管理办法》（原国家安全生产监督管理总局令第49号）、《职业健康监护技术规范》（GBZ188-2014）的要求，安排各车间所有接触的职业病危害因素的员工进行相对应的上岗前、在岗期间、离岗时的职业健康检查，并完善职业卫生管理档案。各岗位具体检查项目参照本报告内容（资料性附件表12.2-3、表12.2-4）和《职业健康监护技术规范》（GBZ188-2014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1518" w:type="pct"/>
                  <w:gridSpan w:val="3"/>
                  <w:vMerge w:val="continue"/>
                  <w:tcBorders>
                    <w:left w:val="single" w:color="000000" w:sz="4" w:space="0"/>
                    <w:right w:val="single" w:color="000000" w:sz="4" w:space="0"/>
                  </w:tcBorders>
                  <w:noWrap w:val="0"/>
                  <w:vAlign w:val="center"/>
                </w:tcPr>
                <w:p>
                  <w:pPr>
                    <w:pStyle w:val="31"/>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p>
              </w:tc>
              <w:tc>
                <w:tcPr>
                  <w:tcW w:w="3481" w:type="pct"/>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细化所制定的《劳动者职业健康监护及其档案管理制度》，严格按照《职业健康监护技术规范》（GBZ188-2014）的要求在员工上岗前，安排其进行上岗前的职业健康检查，发现无禁忌证、职业病或疑似职业病后，再安排其进行相应岗位的工作。</w:t>
                  </w:r>
                </w:p>
                <w:p>
                  <w:pPr>
                    <w:widowControl w:val="0"/>
                    <w:spacing w:line="240" w:lineRule="auto"/>
                    <w:ind w:left="0" w:leftChars="0" w:firstLine="420" w:firstLineChars="20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若在岗期间的职业健康检查中发现禁忌证，则将其调离相应的作业岗位。若在岗期间、离岗时的职业健康检查中发现疑似职业病，则应按照要求对其提请职业病诊断，诊断结果若不是职业病，则应将其调离相应的作业岗位或安排其离职；若诊断结果为职业病，在将其调离相应作业岗位的同时，其诊疗、康复和复查等费用以及伤残后有关待遇和社会保障等，均应按照国家有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1518" w:type="pct"/>
                  <w:gridSpan w:val="3"/>
                  <w:vMerge w:val="restart"/>
                  <w:tcBorders>
                    <w:left w:val="single" w:color="000000" w:sz="4" w:space="0"/>
                    <w:right w:val="single" w:color="000000" w:sz="4" w:space="0"/>
                  </w:tcBorders>
                  <w:noWrap w:val="0"/>
                  <w:vAlign w:val="center"/>
                </w:tcPr>
                <w:p>
                  <w:pPr>
                    <w:pStyle w:val="31"/>
                    <w:spacing w:line="240" w:lineRule="auto"/>
                    <w:ind w:firstLine="0" w:firstLineChars="0"/>
                    <w:jc w:val="center"/>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color w:val="000000"/>
                      <w:highlight w:val="none"/>
                    </w:rPr>
                    <w:t>职业卫生档案管理</w:t>
                  </w:r>
                  <w:r>
                    <w:rPr>
                      <w:rFonts w:hint="eastAsia" w:ascii="Times New Roman" w:hAnsi="Times New Roman" w:eastAsia="仿宋_GB2312" w:cs="Times New Roman"/>
                      <w:color w:val="000000"/>
                      <w:highlight w:val="none"/>
                      <w:lang w:val="en-US" w:eastAsia="zh-CN"/>
                    </w:rPr>
                    <w:t>建议</w:t>
                  </w:r>
                </w:p>
              </w:tc>
              <w:tc>
                <w:tcPr>
                  <w:tcW w:w="3481" w:type="pct"/>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按照《职业卫生档案管理规范》（原安监总安健〔2013〕171号）的要求，设置建设项目职业卫生“三同时”档案、职业卫生管理档案、职业卫生宣传培训档案、职业病危害因素监测与检测评价档案、劳动者个人职业健康监护档案、用人单位职业健康监护管理档案，并针对进行归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1518" w:type="pct"/>
                  <w:gridSpan w:val="3"/>
                  <w:vMerge w:val="continue"/>
                  <w:tcBorders>
                    <w:left w:val="single" w:color="000000" w:sz="4" w:space="0"/>
                    <w:right w:val="single" w:color="000000" w:sz="4" w:space="0"/>
                  </w:tcBorders>
                  <w:noWrap w:val="0"/>
                  <w:vAlign w:val="center"/>
                </w:tcPr>
                <w:p>
                  <w:pPr>
                    <w:pStyle w:val="31"/>
                    <w:spacing w:line="240" w:lineRule="auto"/>
                    <w:ind w:firstLine="0" w:firstLineChars="0"/>
                    <w:jc w:val="center"/>
                    <w:rPr>
                      <w:rFonts w:hint="eastAsia" w:ascii="Times New Roman" w:hAnsi="Times New Roman" w:eastAsia="仿宋_GB2312" w:cs="Times New Roman"/>
                      <w:color w:val="000000"/>
                      <w:highlight w:val="none"/>
                    </w:rPr>
                  </w:pPr>
                </w:p>
              </w:tc>
              <w:tc>
                <w:tcPr>
                  <w:tcW w:w="3481" w:type="pct"/>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建议该公司根据各岗位最终实际接触的职业病危害因素情况，完善职业卫生合同告知书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1518" w:type="pct"/>
                  <w:gridSpan w:val="3"/>
                  <w:vMerge w:val="continue"/>
                  <w:tcBorders>
                    <w:left w:val="single" w:color="000000" w:sz="4" w:space="0"/>
                    <w:right w:val="single" w:color="000000" w:sz="4" w:space="0"/>
                  </w:tcBorders>
                  <w:noWrap w:val="0"/>
                  <w:vAlign w:val="center"/>
                </w:tcPr>
                <w:p>
                  <w:pPr>
                    <w:pStyle w:val="31"/>
                    <w:spacing w:line="240" w:lineRule="auto"/>
                    <w:ind w:firstLine="0" w:firstLineChars="0"/>
                    <w:jc w:val="center"/>
                    <w:rPr>
                      <w:rFonts w:hint="eastAsia" w:ascii="Times New Roman" w:hAnsi="Times New Roman" w:eastAsia="仿宋_GB2312" w:cs="Times New Roman"/>
                      <w:color w:val="000000"/>
                      <w:highlight w:val="none"/>
                    </w:rPr>
                  </w:pPr>
                </w:p>
              </w:tc>
              <w:tc>
                <w:tcPr>
                  <w:tcW w:w="3481" w:type="pct"/>
                  <w:noWrap w:val="0"/>
                  <w:vAlign w:val="center"/>
                </w:tcPr>
                <w:p>
                  <w:pPr>
                    <w:widowControl w:val="0"/>
                    <w:spacing w:line="240" w:lineRule="auto"/>
                    <w:ind w:left="0" w:leftChars="0" w:firstLine="0" w:firstLineChars="0"/>
                    <w:jc w:val="left"/>
                    <w:rPr>
                      <w:rFonts w:hint="eastAsia" w:ascii="Times New Roman" w:hAnsi="Times New Roman" w:eastAsia="仿宋_GB2312" w:cs="Times New Roman"/>
                      <w:b w:val="0"/>
                      <w:bCs/>
                      <w:color w:val="000000"/>
                      <w:kern w:val="0"/>
                      <w:sz w:val="21"/>
                      <w:szCs w:val="21"/>
                      <w:highlight w:val="none"/>
                      <w:lang w:val="en-US" w:eastAsia="zh-CN" w:bidi="ar-SA"/>
                    </w:rPr>
                  </w:pPr>
                  <w:r>
                    <w:rPr>
                      <w:rFonts w:hint="eastAsia" w:ascii="Times New Roman" w:hAnsi="Times New Roman" w:eastAsia="仿宋_GB2312" w:cs="Times New Roman"/>
                      <w:b w:val="0"/>
                      <w:bCs/>
                      <w:color w:val="000000"/>
                      <w:kern w:val="0"/>
                      <w:sz w:val="21"/>
                      <w:szCs w:val="21"/>
                      <w:highlight w:val="none"/>
                      <w:lang w:val="en-US" w:eastAsia="zh-CN" w:bidi="ar-SA"/>
                    </w:rPr>
                    <w:t>建议该公司完善劳动者个人信息卡，个人信息卡内容应包括：其职业史及职业病危害接触史、既往病史、职业病诊断史等</w:t>
                  </w:r>
                </w:p>
              </w:tc>
            </w:tr>
          </w:tbl>
          <w:p>
            <w:pPr>
              <w:numPr>
                <w:ilvl w:val="0"/>
                <w:numId w:val="0"/>
              </w:numPr>
              <w:spacing w:line="320" w:lineRule="exact"/>
              <w:ind w:firstLine="420" w:firstLineChars="200"/>
              <w:jc w:val="left"/>
              <w:rPr>
                <w:rFonts w:hint="eastAsia" w:ascii="仿宋" w:hAnsi="仿宋" w:eastAsia="仿宋" w:cs="Times New Roman"/>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1）细化工作场所通风换气的分析内容；2）完善职业病防护设施合理性和有效性分析；3）针对存在的应急风险点，细化应急救援设施的分析和评价；4）专家提出的其他个人建议。</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NGY5ODFlNTAwM2VhZDM3OTBjMWU0MmE2NGVmNTg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3C06BC"/>
    <w:rsid w:val="01A80200"/>
    <w:rsid w:val="038408F7"/>
    <w:rsid w:val="039C2EBE"/>
    <w:rsid w:val="049B5269"/>
    <w:rsid w:val="04BD7173"/>
    <w:rsid w:val="05AB3CD1"/>
    <w:rsid w:val="06E17D3B"/>
    <w:rsid w:val="073C34BF"/>
    <w:rsid w:val="07AF3996"/>
    <w:rsid w:val="07B0167E"/>
    <w:rsid w:val="07FF744E"/>
    <w:rsid w:val="09203EB9"/>
    <w:rsid w:val="09297649"/>
    <w:rsid w:val="09385C0D"/>
    <w:rsid w:val="097371DC"/>
    <w:rsid w:val="09C247EA"/>
    <w:rsid w:val="0A177030"/>
    <w:rsid w:val="0A6C6CBE"/>
    <w:rsid w:val="0BD92149"/>
    <w:rsid w:val="0BE3052D"/>
    <w:rsid w:val="0C25691C"/>
    <w:rsid w:val="0D1A5D55"/>
    <w:rsid w:val="0D9F589A"/>
    <w:rsid w:val="0E8027DC"/>
    <w:rsid w:val="0F5A59EB"/>
    <w:rsid w:val="0F7006C6"/>
    <w:rsid w:val="0F761068"/>
    <w:rsid w:val="100C39F5"/>
    <w:rsid w:val="108D2CE2"/>
    <w:rsid w:val="10D502CD"/>
    <w:rsid w:val="10ED3781"/>
    <w:rsid w:val="111A69C5"/>
    <w:rsid w:val="117660B3"/>
    <w:rsid w:val="11C96400"/>
    <w:rsid w:val="120C558C"/>
    <w:rsid w:val="125E728B"/>
    <w:rsid w:val="128B0826"/>
    <w:rsid w:val="12AA1929"/>
    <w:rsid w:val="12DF6FC3"/>
    <w:rsid w:val="13511DA5"/>
    <w:rsid w:val="13A05B18"/>
    <w:rsid w:val="13D93620"/>
    <w:rsid w:val="14153CF6"/>
    <w:rsid w:val="1419666D"/>
    <w:rsid w:val="149A1346"/>
    <w:rsid w:val="14EB7563"/>
    <w:rsid w:val="153C270C"/>
    <w:rsid w:val="153F699F"/>
    <w:rsid w:val="15597637"/>
    <w:rsid w:val="15A703A2"/>
    <w:rsid w:val="15C34AB0"/>
    <w:rsid w:val="15D13671"/>
    <w:rsid w:val="15E10FC5"/>
    <w:rsid w:val="16DB74D2"/>
    <w:rsid w:val="18115FA7"/>
    <w:rsid w:val="18643D3F"/>
    <w:rsid w:val="18E055E9"/>
    <w:rsid w:val="19401D7B"/>
    <w:rsid w:val="194B7296"/>
    <w:rsid w:val="1AE17EB2"/>
    <w:rsid w:val="1AE974BB"/>
    <w:rsid w:val="1B0353F5"/>
    <w:rsid w:val="1B707CB3"/>
    <w:rsid w:val="1BA77ADC"/>
    <w:rsid w:val="1C2D0D45"/>
    <w:rsid w:val="1CD7089E"/>
    <w:rsid w:val="1D655E72"/>
    <w:rsid w:val="1D894E19"/>
    <w:rsid w:val="1DC8425E"/>
    <w:rsid w:val="1E021B0F"/>
    <w:rsid w:val="1EDE2574"/>
    <w:rsid w:val="1EF95506"/>
    <w:rsid w:val="1F075687"/>
    <w:rsid w:val="1F226CEB"/>
    <w:rsid w:val="1F471784"/>
    <w:rsid w:val="1F843311"/>
    <w:rsid w:val="1F8B3B8B"/>
    <w:rsid w:val="226F3FF6"/>
    <w:rsid w:val="23264FFC"/>
    <w:rsid w:val="235749A6"/>
    <w:rsid w:val="236D2C2B"/>
    <w:rsid w:val="241F37F9"/>
    <w:rsid w:val="256E263A"/>
    <w:rsid w:val="25E01C4D"/>
    <w:rsid w:val="264233C0"/>
    <w:rsid w:val="26AA663B"/>
    <w:rsid w:val="26AE4690"/>
    <w:rsid w:val="27612000"/>
    <w:rsid w:val="27AA03D2"/>
    <w:rsid w:val="27F751B9"/>
    <w:rsid w:val="28566540"/>
    <w:rsid w:val="2987570C"/>
    <w:rsid w:val="29B82129"/>
    <w:rsid w:val="29FA0C70"/>
    <w:rsid w:val="29FF0124"/>
    <w:rsid w:val="2A0D4376"/>
    <w:rsid w:val="2A692415"/>
    <w:rsid w:val="2AA85522"/>
    <w:rsid w:val="2ABD66B0"/>
    <w:rsid w:val="2B645E32"/>
    <w:rsid w:val="2BB818E7"/>
    <w:rsid w:val="2C9662B4"/>
    <w:rsid w:val="2CE83322"/>
    <w:rsid w:val="2D085772"/>
    <w:rsid w:val="2D362271"/>
    <w:rsid w:val="2D49244D"/>
    <w:rsid w:val="2D7A2D69"/>
    <w:rsid w:val="2DB23294"/>
    <w:rsid w:val="2E2C70F5"/>
    <w:rsid w:val="2E8A6E88"/>
    <w:rsid w:val="2EB91986"/>
    <w:rsid w:val="2EC102CF"/>
    <w:rsid w:val="2F191EB9"/>
    <w:rsid w:val="2F8A246F"/>
    <w:rsid w:val="2FAE17B1"/>
    <w:rsid w:val="2FC968E8"/>
    <w:rsid w:val="2FF4352E"/>
    <w:rsid w:val="3019150F"/>
    <w:rsid w:val="30A734F4"/>
    <w:rsid w:val="30B26121"/>
    <w:rsid w:val="320555C9"/>
    <w:rsid w:val="32340DB8"/>
    <w:rsid w:val="324618C5"/>
    <w:rsid w:val="32603105"/>
    <w:rsid w:val="326C2300"/>
    <w:rsid w:val="32B51CD1"/>
    <w:rsid w:val="32BF7DFB"/>
    <w:rsid w:val="33100E63"/>
    <w:rsid w:val="33E365F1"/>
    <w:rsid w:val="34982BB1"/>
    <w:rsid w:val="35511A47"/>
    <w:rsid w:val="356C7D94"/>
    <w:rsid w:val="35AD335B"/>
    <w:rsid w:val="36056CF3"/>
    <w:rsid w:val="36877708"/>
    <w:rsid w:val="3716184E"/>
    <w:rsid w:val="37343A5F"/>
    <w:rsid w:val="37DE260D"/>
    <w:rsid w:val="37FF425B"/>
    <w:rsid w:val="38B96A3E"/>
    <w:rsid w:val="38D000BE"/>
    <w:rsid w:val="38D86941"/>
    <w:rsid w:val="38F24410"/>
    <w:rsid w:val="39047736"/>
    <w:rsid w:val="39C11183"/>
    <w:rsid w:val="3B201ED9"/>
    <w:rsid w:val="3BD01B51"/>
    <w:rsid w:val="3C0761D6"/>
    <w:rsid w:val="3C5B2466"/>
    <w:rsid w:val="3CCD6FA5"/>
    <w:rsid w:val="3D2752D5"/>
    <w:rsid w:val="3D5207AE"/>
    <w:rsid w:val="3DE61259"/>
    <w:rsid w:val="3EEF07FC"/>
    <w:rsid w:val="3F473ED8"/>
    <w:rsid w:val="3F87786E"/>
    <w:rsid w:val="3FA73C06"/>
    <w:rsid w:val="3FB93A8C"/>
    <w:rsid w:val="3FFA644F"/>
    <w:rsid w:val="4050500F"/>
    <w:rsid w:val="40884444"/>
    <w:rsid w:val="409F01E1"/>
    <w:rsid w:val="40A9471F"/>
    <w:rsid w:val="40C65ACB"/>
    <w:rsid w:val="40DB376D"/>
    <w:rsid w:val="40EA5463"/>
    <w:rsid w:val="41FA1D1A"/>
    <w:rsid w:val="422E07C5"/>
    <w:rsid w:val="42B86F16"/>
    <w:rsid w:val="42E52372"/>
    <w:rsid w:val="432F39AE"/>
    <w:rsid w:val="43AA78B4"/>
    <w:rsid w:val="43B55ADA"/>
    <w:rsid w:val="43C60BAF"/>
    <w:rsid w:val="43E448AA"/>
    <w:rsid w:val="44054362"/>
    <w:rsid w:val="442E1043"/>
    <w:rsid w:val="446950D2"/>
    <w:rsid w:val="44790C8F"/>
    <w:rsid w:val="44BA339E"/>
    <w:rsid w:val="45D63146"/>
    <w:rsid w:val="464168ED"/>
    <w:rsid w:val="46692731"/>
    <w:rsid w:val="470141D4"/>
    <w:rsid w:val="48413B21"/>
    <w:rsid w:val="49ED368F"/>
    <w:rsid w:val="49FE735A"/>
    <w:rsid w:val="4ACE72D5"/>
    <w:rsid w:val="4B737D2F"/>
    <w:rsid w:val="4B901E38"/>
    <w:rsid w:val="4BCF2B77"/>
    <w:rsid w:val="4C036058"/>
    <w:rsid w:val="4C153B45"/>
    <w:rsid w:val="4C5D11DF"/>
    <w:rsid w:val="4C932747"/>
    <w:rsid w:val="4C96179F"/>
    <w:rsid w:val="4CC820E0"/>
    <w:rsid w:val="4E925217"/>
    <w:rsid w:val="4EC10539"/>
    <w:rsid w:val="4ED64F6F"/>
    <w:rsid w:val="4EF1188A"/>
    <w:rsid w:val="4F0534C4"/>
    <w:rsid w:val="4F440EC0"/>
    <w:rsid w:val="4FF428D3"/>
    <w:rsid w:val="501371A3"/>
    <w:rsid w:val="50576441"/>
    <w:rsid w:val="50D852D8"/>
    <w:rsid w:val="510D4856"/>
    <w:rsid w:val="51347795"/>
    <w:rsid w:val="515C0308"/>
    <w:rsid w:val="51AA3E0A"/>
    <w:rsid w:val="52216289"/>
    <w:rsid w:val="52545B77"/>
    <w:rsid w:val="53411E8B"/>
    <w:rsid w:val="53DD723A"/>
    <w:rsid w:val="5408268C"/>
    <w:rsid w:val="543B27E9"/>
    <w:rsid w:val="54430E1D"/>
    <w:rsid w:val="55150F1E"/>
    <w:rsid w:val="555D1CEE"/>
    <w:rsid w:val="555F1582"/>
    <w:rsid w:val="55616896"/>
    <w:rsid w:val="559A73EB"/>
    <w:rsid w:val="55FA0EFC"/>
    <w:rsid w:val="56176B82"/>
    <w:rsid w:val="5677342B"/>
    <w:rsid w:val="576F7D6A"/>
    <w:rsid w:val="57B875F5"/>
    <w:rsid w:val="57ED2E88"/>
    <w:rsid w:val="57F563A3"/>
    <w:rsid w:val="58BA59F2"/>
    <w:rsid w:val="58D84D64"/>
    <w:rsid w:val="59576FB6"/>
    <w:rsid w:val="598712B7"/>
    <w:rsid w:val="5A6C6884"/>
    <w:rsid w:val="5AF32055"/>
    <w:rsid w:val="5AF80E2D"/>
    <w:rsid w:val="5BBA6E87"/>
    <w:rsid w:val="5BF34CF4"/>
    <w:rsid w:val="5C27271C"/>
    <w:rsid w:val="5C93062A"/>
    <w:rsid w:val="5C972C81"/>
    <w:rsid w:val="5CCA3EEF"/>
    <w:rsid w:val="5CEA65C1"/>
    <w:rsid w:val="5D304EA8"/>
    <w:rsid w:val="5D4041AE"/>
    <w:rsid w:val="5DE30A49"/>
    <w:rsid w:val="5EF132A9"/>
    <w:rsid w:val="5F047CD6"/>
    <w:rsid w:val="5F454131"/>
    <w:rsid w:val="5F6B6E2F"/>
    <w:rsid w:val="5F79574A"/>
    <w:rsid w:val="5F995DB2"/>
    <w:rsid w:val="5FC26A78"/>
    <w:rsid w:val="5FCC51F4"/>
    <w:rsid w:val="60E7048E"/>
    <w:rsid w:val="613D1565"/>
    <w:rsid w:val="6291178B"/>
    <w:rsid w:val="62CF061A"/>
    <w:rsid w:val="62FA2A50"/>
    <w:rsid w:val="6346377C"/>
    <w:rsid w:val="63536A40"/>
    <w:rsid w:val="639130C5"/>
    <w:rsid w:val="63C66714"/>
    <w:rsid w:val="64C319A4"/>
    <w:rsid w:val="64CE2C89"/>
    <w:rsid w:val="64DD2A65"/>
    <w:rsid w:val="64FA69CA"/>
    <w:rsid w:val="653603C7"/>
    <w:rsid w:val="654A6052"/>
    <w:rsid w:val="658A7316"/>
    <w:rsid w:val="66CA654C"/>
    <w:rsid w:val="674F5001"/>
    <w:rsid w:val="67AD4C6F"/>
    <w:rsid w:val="68D64052"/>
    <w:rsid w:val="697C2783"/>
    <w:rsid w:val="6996483B"/>
    <w:rsid w:val="69C14110"/>
    <w:rsid w:val="69E610C3"/>
    <w:rsid w:val="6A24046B"/>
    <w:rsid w:val="6A706DE0"/>
    <w:rsid w:val="6A7476A4"/>
    <w:rsid w:val="6A9927D9"/>
    <w:rsid w:val="6B2B0AAB"/>
    <w:rsid w:val="6B9E2823"/>
    <w:rsid w:val="6BAA399C"/>
    <w:rsid w:val="6BE64FD6"/>
    <w:rsid w:val="6BEE0F72"/>
    <w:rsid w:val="6C0522FA"/>
    <w:rsid w:val="6C830396"/>
    <w:rsid w:val="6CF7283B"/>
    <w:rsid w:val="6DBF6A6A"/>
    <w:rsid w:val="6DC06017"/>
    <w:rsid w:val="6E5B49FB"/>
    <w:rsid w:val="6F09453C"/>
    <w:rsid w:val="6F40631D"/>
    <w:rsid w:val="702439F7"/>
    <w:rsid w:val="70585696"/>
    <w:rsid w:val="70BF1417"/>
    <w:rsid w:val="70E4517B"/>
    <w:rsid w:val="72244309"/>
    <w:rsid w:val="72634067"/>
    <w:rsid w:val="726E598B"/>
    <w:rsid w:val="72DF3E4C"/>
    <w:rsid w:val="731E2BC7"/>
    <w:rsid w:val="73852C46"/>
    <w:rsid w:val="739509AF"/>
    <w:rsid w:val="741037BE"/>
    <w:rsid w:val="74666840"/>
    <w:rsid w:val="74AC17DB"/>
    <w:rsid w:val="74C83AAD"/>
    <w:rsid w:val="74DB09F6"/>
    <w:rsid w:val="74E474F8"/>
    <w:rsid w:val="75EB5092"/>
    <w:rsid w:val="77115FC5"/>
    <w:rsid w:val="775D17E4"/>
    <w:rsid w:val="77724D2A"/>
    <w:rsid w:val="78611430"/>
    <w:rsid w:val="797C4722"/>
    <w:rsid w:val="79EE28B6"/>
    <w:rsid w:val="79F541C1"/>
    <w:rsid w:val="7A3F4800"/>
    <w:rsid w:val="7B2F1B69"/>
    <w:rsid w:val="7B811F45"/>
    <w:rsid w:val="7B902188"/>
    <w:rsid w:val="7BCA229A"/>
    <w:rsid w:val="7BDD144D"/>
    <w:rsid w:val="7BEB19FB"/>
    <w:rsid w:val="7C097B3F"/>
    <w:rsid w:val="7C3B1803"/>
    <w:rsid w:val="7C5036C5"/>
    <w:rsid w:val="7CAA54CB"/>
    <w:rsid w:val="7D1E58D9"/>
    <w:rsid w:val="7D656711"/>
    <w:rsid w:val="7EA92FCB"/>
    <w:rsid w:val="7F3D40D2"/>
    <w:rsid w:val="7F950788"/>
    <w:rsid w:val="7FBA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ind w:firstLine="0" w:firstLineChars="0"/>
      <w:jc w:val="left"/>
      <w:outlineLvl w:val="0"/>
    </w:pPr>
    <w:rPr>
      <w:b/>
      <w:bCs/>
      <w:kern w:val="44"/>
      <w:sz w:val="30"/>
      <w:szCs w:val="44"/>
    </w:rPr>
  </w:style>
  <w:style w:type="paragraph" w:styleId="3">
    <w:name w:val="heading 2"/>
    <w:basedOn w:val="1"/>
    <w:next w:val="1"/>
    <w:link w:val="29"/>
    <w:autoRedefine/>
    <w:unhideWhenUsed/>
    <w:qFormat/>
    <w:uiPriority w:val="9"/>
    <w:pPr>
      <w:keepNext/>
      <w:keepLines/>
      <w:ind w:firstLine="0" w:firstLineChars="0"/>
      <w:jc w:val="left"/>
      <w:outlineLvl w:val="1"/>
    </w:pPr>
    <w:rPr>
      <w:rFonts w:cstheme="majorBidi"/>
      <w:b/>
      <w:bCs/>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semiHidden/>
    <w:unhideWhenUsed/>
    <w:qFormat/>
    <w:uiPriority w:val="99"/>
    <w:pPr>
      <w:jc w:val="left"/>
    </w:pPr>
  </w:style>
  <w:style w:type="paragraph" w:styleId="5">
    <w:name w:val="Body Text"/>
    <w:basedOn w:val="1"/>
    <w:autoRedefine/>
    <w:unhideWhenUsed/>
    <w:qFormat/>
    <w:uiPriority w:val="0"/>
    <w:pPr>
      <w:spacing w:after="120"/>
    </w:pPr>
    <w:rPr>
      <w:kern w:val="0"/>
      <w:sz w:val="20"/>
    </w:rPr>
  </w:style>
  <w:style w:type="paragraph" w:styleId="6">
    <w:name w:val="Body Text Indent"/>
    <w:basedOn w:val="1"/>
    <w:autoRedefine/>
    <w:semiHidden/>
    <w:unhideWhenUsed/>
    <w:qFormat/>
    <w:uiPriority w:val="99"/>
    <w:pPr>
      <w:spacing w:after="120" w:afterLines="0" w:afterAutospacing="0"/>
      <w:ind w:left="420" w:leftChars="200"/>
    </w:pPr>
  </w:style>
  <w:style w:type="paragraph" w:styleId="7">
    <w:name w:val="Plain Text"/>
    <w:basedOn w:val="1"/>
    <w:autoRedefine/>
    <w:qFormat/>
    <w:uiPriority w:val="0"/>
    <w:rPr>
      <w:rFonts w:ascii="宋体" w:hAnsi="Courier New" w:eastAsia="宋体"/>
      <w:kern w:val="0"/>
      <w:sz w:val="20"/>
      <w:szCs w:val="20"/>
    </w:rPr>
  </w:style>
  <w:style w:type="paragraph" w:styleId="8">
    <w:name w:val="List Bullet 5"/>
    <w:basedOn w:val="1"/>
    <w:autoRedefine/>
    <w:semiHidden/>
    <w:unhideWhenUsed/>
    <w:qFormat/>
    <w:uiPriority w:val="99"/>
    <w:pPr>
      <w:numPr>
        <w:ilvl w:val="0"/>
        <w:numId w:val="1"/>
      </w:numPr>
    </w:pPr>
  </w:style>
  <w:style w:type="paragraph" w:styleId="9">
    <w:name w:val="Balloon Text"/>
    <w:basedOn w:val="1"/>
    <w:link w:val="25"/>
    <w:autoRedefine/>
    <w:semiHidden/>
    <w:unhideWhenUsed/>
    <w:qFormat/>
    <w:uiPriority w:val="99"/>
    <w:rPr>
      <w:sz w:val="18"/>
      <w:szCs w:val="18"/>
    </w:rPr>
  </w:style>
  <w:style w:type="paragraph" w:styleId="10">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4"/>
    <w:next w:val="4"/>
    <w:link w:val="24"/>
    <w:autoRedefine/>
    <w:semiHidden/>
    <w:unhideWhenUsed/>
    <w:qFormat/>
    <w:uiPriority w:val="99"/>
    <w:rPr>
      <w:b/>
      <w:bCs/>
    </w:rPr>
  </w:style>
  <w:style w:type="paragraph" w:styleId="13">
    <w:name w:val="Body Text First Indent"/>
    <w:basedOn w:val="5"/>
    <w:autoRedefine/>
    <w:qFormat/>
    <w:uiPriority w:val="0"/>
    <w:pPr>
      <w:ind w:firstLine="420" w:firstLineChars="100"/>
    </w:pPr>
    <w:rPr>
      <w:rFonts w:ascii="Times New Roman" w:eastAsia="宋体"/>
      <w:szCs w:val="20"/>
    </w:rPr>
  </w:style>
  <w:style w:type="paragraph" w:styleId="14">
    <w:name w:val="Body Text First Indent 2"/>
    <w:basedOn w:val="6"/>
    <w:autoRedefine/>
    <w:semiHidden/>
    <w:unhideWhenUsed/>
    <w:qFormat/>
    <w:uiPriority w:val="99"/>
    <w:pPr>
      <w:ind w:firstLine="420" w:firstLineChars="200"/>
    </w:pPr>
  </w:style>
  <w:style w:type="character" w:styleId="17">
    <w:name w:val="annotation reference"/>
    <w:basedOn w:val="16"/>
    <w:autoRedefine/>
    <w:semiHidden/>
    <w:unhideWhenUsed/>
    <w:qFormat/>
    <w:uiPriority w:val="99"/>
    <w:rPr>
      <w:sz w:val="21"/>
      <w:szCs w:val="21"/>
    </w:rPr>
  </w:style>
  <w:style w:type="character" w:customStyle="1" w:styleId="18">
    <w:name w:val="页眉 Char"/>
    <w:basedOn w:val="16"/>
    <w:link w:val="11"/>
    <w:autoRedefine/>
    <w:semiHidden/>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排版正文 Char Char"/>
    <w:link w:val="21"/>
    <w:autoRedefine/>
    <w:qFormat/>
    <w:locked/>
    <w:uiPriority w:val="0"/>
    <w:rPr>
      <w:rFonts w:ascii="仿宋_GB2312" w:hAnsi="Times New Roman" w:eastAsia="仿宋_GB2312"/>
      <w:spacing w:val="8"/>
      <w:sz w:val="28"/>
      <w:szCs w:val="21"/>
    </w:rPr>
  </w:style>
  <w:style w:type="paragraph" w:customStyle="1" w:styleId="21">
    <w:name w:val="排版正文"/>
    <w:link w:val="20"/>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autoRedefine/>
    <w:qFormat/>
    <w:uiPriority w:val="34"/>
    <w:pPr>
      <w:ind w:firstLine="420" w:firstLineChars="200"/>
    </w:pPr>
  </w:style>
  <w:style w:type="character" w:customStyle="1" w:styleId="23">
    <w:name w:val="批注文字 Char"/>
    <w:basedOn w:val="16"/>
    <w:link w:val="4"/>
    <w:autoRedefine/>
    <w:semiHidden/>
    <w:qFormat/>
    <w:uiPriority w:val="99"/>
  </w:style>
  <w:style w:type="character" w:customStyle="1" w:styleId="24">
    <w:name w:val="批注主题 Char"/>
    <w:basedOn w:val="23"/>
    <w:link w:val="12"/>
    <w:autoRedefine/>
    <w:semiHidden/>
    <w:qFormat/>
    <w:uiPriority w:val="99"/>
    <w:rPr>
      <w:b/>
      <w:bCs/>
    </w:rPr>
  </w:style>
  <w:style w:type="character" w:customStyle="1" w:styleId="25">
    <w:name w:val="批注框文本 Char"/>
    <w:basedOn w:val="16"/>
    <w:link w:val="9"/>
    <w:autoRedefine/>
    <w:semiHidden/>
    <w:qFormat/>
    <w:uiPriority w:val="99"/>
    <w:rPr>
      <w:sz w:val="18"/>
      <w:szCs w:val="18"/>
    </w:rPr>
  </w:style>
  <w:style w:type="character" w:customStyle="1" w:styleId="26">
    <w:name w:val="正文 Char"/>
    <w:basedOn w:val="16"/>
    <w:link w:val="27"/>
    <w:autoRedefine/>
    <w:qFormat/>
    <w:uiPriority w:val="0"/>
    <w:rPr>
      <w:rFonts w:cs="Times New Roman"/>
    </w:rPr>
  </w:style>
  <w:style w:type="paragraph" w:customStyle="1" w:styleId="27">
    <w:name w:val="正文1"/>
    <w:basedOn w:val="1"/>
    <w:link w:val="26"/>
    <w:autoRedefine/>
    <w:qFormat/>
    <w:uiPriority w:val="0"/>
    <w:pPr>
      <w:ind w:firstLine="560"/>
    </w:pPr>
    <w:rPr>
      <w:rFonts w:cs="Times New Roman"/>
    </w:rPr>
  </w:style>
  <w:style w:type="paragraph" w:customStyle="1" w:styleId="28">
    <w:name w:val="wzw"/>
    <w:basedOn w:val="1"/>
    <w:autoRedefine/>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3"/>
    <w:autoRedefine/>
    <w:qFormat/>
    <w:uiPriority w:val="0"/>
    <w:rPr>
      <w:rFonts w:cstheme="majorBidi"/>
      <w:b/>
      <w:bCs/>
      <w:szCs w:val="32"/>
    </w:rPr>
  </w:style>
  <w:style w:type="paragraph" w:customStyle="1" w:styleId="30">
    <w:name w:val="正文样式"/>
    <w:basedOn w:val="1"/>
    <w:autoRedefine/>
    <w:qFormat/>
    <w:uiPriority w:val="0"/>
    <w:pPr>
      <w:spacing w:line="490" w:lineRule="exact"/>
      <w:ind w:firstLine="200" w:firstLineChars="200"/>
    </w:pPr>
    <w:rPr>
      <w:rFonts w:ascii="Times New Roman"/>
      <w:color w:val="000000"/>
      <w:kern w:val="0"/>
      <w:sz w:val="28"/>
      <w:szCs w:val="20"/>
    </w:rPr>
  </w:style>
  <w:style w:type="paragraph" w:customStyle="1" w:styleId="31">
    <w:name w:val="表格正文"/>
    <w:basedOn w:val="1"/>
    <w:qFormat/>
    <w:uiPriority w:val="0"/>
    <w:pPr>
      <w:spacing w:line="320" w:lineRule="exact"/>
      <w:ind w:firstLine="0" w:firstLineChars="0"/>
      <w:jc w:val="center"/>
    </w:pPr>
    <w:rPr>
      <w:rFonts w:cs="Times New Roman"/>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975</Words>
  <Characters>1014</Characters>
  <Lines>9</Lines>
  <Paragraphs>2</Paragraphs>
  <TotalTime>0</TotalTime>
  <ScaleCrop>false</ScaleCrop>
  <LinksUpToDate>false</LinksUpToDate>
  <CharactersWithSpaces>1031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2024-07-02T05:39:04Z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AA43A60CEDF4406DB74EB5DCF712EDB5_12</vt:lpwstr>
  </property>
</Properties>
</file>